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7A" w:rsidRPr="0065313B" w:rsidRDefault="0015349E" w:rsidP="00866DF2">
      <w:pPr>
        <w:spacing w:after="0" w:line="360" w:lineRule="auto"/>
        <w:ind w:firstLine="709"/>
        <w:jc w:val="center"/>
        <w:rPr>
          <w:rFonts w:eastAsia="Times New Roman" w:cs="Times New Roman"/>
          <w:b/>
          <w:szCs w:val="28"/>
          <w:lang w:eastAsia="ru-RU"/>
        </w:rPr>
      </w:pPr>
      <w:r>
        <w:rPr>
          <w:rFonts w:eastAsia="Times New Roman" w:cs="Times New Roman"/>
          <w:b/>
          <w:szCs w:val="28"/>
          <w:lang w:eastAsia="ru-RU"/>
        </w:rPr>
        <w:t xml:space="preserve">Аналитический отчет за </w:t>
      </w:r>
      <w:r w:rsidR="00693F78">
        <w:rPr>
          <w:rFonts w:eastAsia="Times New Roman" w:cs="Times New Roman"/>
          <w:b/>
          <w:szCs w:val="28"/>
          <w:lang w:eastAsia="ru-RU"/>
        </w:rPr>
        <w:t>2 квартал</w:t>
      </w:r>
      <w:r w:rsidR="00BE2F4F">
        <w:rPr>
          <w:rFonts w:eastAsia="Times New Roman" w:cs="Times New Roman"/>
          <w:b/>
          <w:szCs w:val="28"/>
          <w:lang w:eastAsia="ru-RU"/>
        </w:rPr>
        <w:t xml:space="preserve"> 2024</w:t>
      </w:r>
      <w:r w:rsidR="00D7297A" w:rsidRPr="0065313B">
        <w:rPr>
          <w:rFonts w:eastAsia="Times New Roman" w:cs="Times New Roman"/>
          <w:b/>
          <w:szCs w:val="28"/>
          <w:lang w:eastAsia="ru-RU"/>
        </w:rPr>
        <w:t xml:space="preserve"> года по результатам осуществления закупок товаров, работ, услуг для заказчиков, переданных в уполномоченный орган Администрации городского округа </w:t>
      </w:r>
      <w:r w:rsidR="00556977">
        <w:rPr>
          <w:rFonts w:eastAsia="Times New Roman" w:cs="Times New Roman"/>
          <w:b/>
          <w:szCs w:val="28"/>
          <w:lang w:eastAsia="ru-RU"/>
        </w:rPr>
        <w:t>Верхняя Пышма</w:t>
      </w:r>
      <w:r w:rsidR="00C550C7">
        <w:rPr>
          <w:rFonts w:eastAsia="Times New Roman" w:cs="Times New Roman"/>
          <w:b/>
          <w:szCs w:val="28"/>
          <w:lang w:eastAsia="ru-RU"/>
        </w:rPr>
        <w:t xml:space="preserve"> – отдел муниципального заказа комитета экономики и муниципального заказа</w:t>
      </w:r>
      <w:r w:rsidR="00D7297A" w:rsidRPr="0065313B">
        <w:rPr>
          <w:rFonts w:eastAsia="Times New Roman" w:cs="Times New Roman"/>
          <w:b/>
          <w:szCs w:val="28"/>
          <w:lang w:eastAsia="ru-RU"/>
        </w:rPr>
        <w:t xml:space="preserve"> для нужд городского округа </w:t>
      </w:r>
      <w:r w:rsidR="00556977">
        <w:rPr>
          <w:rFonts w:eastAsia="Times New Roman" w:cs="Times New Roman"/>
          <w:b/>
          <w:szCs w:val="28"/>
          <w:lang w:eastAsia="ru-RU"/>
        </w:rPr>
        <w:t>Верхняя Пышма</w:t>
      </w:r>
    </w:p>
    <w:p w:rsidR="00864A9C" w:rsidRDefault="00864A9C" w:rsidP="00D7297A">
      <w:pPr>
        <w:spacing w:after="0" w:line="240" w:lineRule="auto"/>
        <w:jc w:val="center"/>
        <w:rPr>
          <w:rFonts w:eastAsia="Times New Roman" w:cs="Times New Roman"/>
          <w:sz w:val="28"/>
          <w:szCs w:val="28"/>
          <w:lang w:eastAsia="ru-RU"/>
        </w:rPr>
      </w:pPr>
    </w:p>
    <w:p w:rsidR="004102C8" w:rsidRDefault="004102C8" w:rsidP="00D7297A">
      <w:pPr>
        <w:spacing w:after="0" w:line="240" w:lineRule="auto"/>
        <w:jc w:val="center"/>
        <w:rPr>
          <w:rFonts w:eastAsia="Times New Roman" w:cs="Times New Roman"/>
          <w:b/>
          <w:sz w:val="28"/>
          <w:szCs w:val="28"/>
          <w:lang w:eastAsia="ru-RU"/>
        </w:rPr>
      </w:pPr>
      <w:r w:rsidRPr="004102C8">
        <w:rPr>
          <w:rFonts w:eastAsia="Times New Roman" w:cs="Times New Roman"/>
          <w:b/>
          <w:sz w:val="28"/>
          <w:szCs w:val="28"/>
          <w:lang w:eastAsia="ru-RU"/>
        </w:rPr>
        <w:t xml:space="preserve">1. </w:t>
      </w:r>
      <w:r>
        <w:rPr>
          <w:rFonts w:eastAsia="Times New Roman" w:cs="Times New Roman"/>
          <w:b/>
          <w:sz w:val="28"/>
          <w:szCs w:val="28"/>
          <w:lang w:eastAsia="ru-RU"/>
        </w:rPr>
        <w:t>ОСУЩЕСТВЛЕНИЕ ЗАКУПОК</w:t>
      </w:r>
    </w:p>
    <w:p w:rsidR="007209D1" w:rsidRPr="004102C8" w:rsidRDefault="007209D1" w:rsidP="00D7297A">
      <w:pPr>
        <w:spacing w:after="0" w:line="240" w:lineRule="auto"/>
        <w:jc w:val="center"/>
        <w:rPr>
          <w:rFonts w:eastAsia="Times New Roman" w:cs="Times New Roman"/>
          <w:b/>
          <w:sz w:val="28"/>
          <w:szCs w:val="28"/>
          <w:lang w:eastAsia="ru-RU"/>
        </w:rPr>
      </w:pPr>
    </w:p>
    <w:p w:rsidR="00514B72" w:rsidRDefault="00864A9C" w:rsidP="00E31CE3">
      <w:pPr>
        <w:widowControl w:val="0"/>
        <w:spacing w:after="0" w:line="360" w:lineRule="auto"/>
        <w:ind w:firstLine="709"/>
        <w:jc w:val="both"/>
        <w:rPr>
          <w:rFonts w:eastAsia="Times New Roman" w:cs="Times New Roman"/>
          <w:sz w:val="28"/>
          <w:szCs w:val="28"/>
          <w:lang w:eastAsia="ru-RU"/>
        </w:rPr>
      </w:pPr>
      <w:proofErr w:type="gramStart"/>
      <w:r w:rsidRPr="001D0E49">
        <w:rPr>
          <w:rFonts w:eastAsia="Times New Roman" w:cs="Times New Roman"/>
          <w:sz w:val="28"/>
          <w:szCs w:val="28"/>
          <w:lang w:eastAsia="ru-RU"/>
        </w:rPr>
        <w:t>З</w:t>
      </w:r>
      <w:r w:rsidR="00C550C7">
        <w:rPr>
          <w:rFonts w:eastAsia="Times New Roman" w:cs="Times New Roman"/>
          <w:sz w:val="28"/>
          <w:szCs w:val="28"/>
          <w:lang w:eastAsia="ru-RU"/>
        </w:rPr>
        <w:t>а отчетный период уполномоченным</w:t>
      </w:r>
      <w:r w:rsidRPr="001D0E49">
        <w:rPr>
          <w:rFonts w:eastAsia="Times New Roman" w:cs="Times New Roman"/>
          <w:sz w:val="28"/>
          <w:szCs w:val="28"/>
          <w:lang w:eastAsia="ru-RU"/>
        </w:rPr>
        <w:t xml:space="preserve"> орган</w:t>
      </w:r>
      <w:r w:rsidR="00C550C7">
        <w:rPr>
          <w:rFonts w:eastAsia="Times New Roman" w:cs="Times New Roman"/>
          <w:sz w:val="28"/>
          <w:szCs w:val="28"/>
          <w:lang w:eastAsia="ru-RU"/>
        </w:rPr>
        <w:t>ом</w:t>
      </w:r>
      <w:r w:rsidRPr="001D0E49">
        <w:rPr>
          <w:rFonts w:eastAsia="Times New Roman" w:cs="Times New Roman"/>
          <w:sz w:val="28"/>
          <w:szCs w:val="28"/>
          <w:lang w:eastAsia="ru-RU"/>
        </w:rPr>
        <w:t xml:space="preserve"> осуществлял</w:t>
      </w:r>
      <w:r w:rsidR="00C550C7">
        <w:rPr>
          <w:rFonts w:eastAsia="Times New Roman" w:cs="Times New Roman"/>
          <w:sz w:val="28"/>
          <w:szCs w:val="28"/>
          <w:lang w:eastAsia="ru-RU"/>
        </w:rPr>
        <w:t>ось</w:t>
      </w:r>
      <w:r w:rsidRPr="001D0E49">
        <w:rPr>
          <w:rFonts w:eastAsia="Times New Roman" w:cs="Times New Roman"/>
          <w:sz w:val="28"/>
          <w:szCs w:val="28"/>
          <w:lang w:eastAsia="ru-RU"/>
        </w:rPr>
        <w:t xml:space="preserve"> определение поставщиков </w:t>
      </w:r>
      <w:r>
        <w:rPr>
          <w:rFonts w:eastAsia="Times New Roman" w:cs="Times New Roman"/>
          <w:sz w:val="28"/>
          <w:szCs w:val="28"/>
          <w:lang w:eastAsia="ru-RU"/>
        </w:rPr>
        <w:t>(</w:t>
      </w:r>
      <w:r w:rsidRPr="001D0E49">
        <w:rPr>
          <w:rFonts w:eastAsia="Times New Roman" w:cs="Times New Roman"/>
          <w:sz w:val="28"/>
          <w:szCs w:val="28"/>
          <w:lang w:eastAsia="ru-RU"/>
        </w:rPr>
        <w:t>подрядчиков, исполнителей</w:t>
      </w:r>
      <w:r>
        <w:rPr>
          <w:rFonts w:eastAsia="Times New Roman" w:cs="Times New Roman"/>
          <w:sz w:val="28"/>
          <w:szCs w:val="28"/>
          <w:lang w:eastAsia="ru-RU"/>
        </w:rPr>
        <w:t xml:space="preserve">) </w:t>
      </w:r>
      <w:r w:rsidR="004917D2">
        <w:rPr>
          <w:rFonts w:eastAsia="Times New Roman" w:cs="Times New Roman"/>
          <w:sz w:val="28"/>
          <w:szCs w:val="28"/>
          <w:lang w:eastAsia="ru-RU"/>
        </w:rPr>
        <w:t xml:space="preserve">для </w:t>
      </w:r>
      <w:r w:rsidR="009A18CE">
        <w:rPr>
          <w:rFonts w:eastAsia="Times New Roman" w:cs="Times New Roman"/>
          <w:sz w:val="28"/>
          <w:szCs w:val="28"/>
          <w:lang w:eastAsia="ru-RU"/>
        </w:rPr>
        <w:t>20</w:t>
      </w:r>
      <w:r w:rsidR="00D04A6D">
        <w:rPr>
          <w:rFonts w:eastAsia="Times New Roman" w:cs="Times New Roman"/>
          <w:sz w:val="28"/>
          <w:szCs w:val="28"/>
          <w:lang w:eastAsia="ru-RU"/>
        </w:rPr>
        <w:t xml:space="preserve"> муниципальных</w:t>
      </w:r>
      <w:r w:rsidR="00BA55C5">
        <w:rPr>
          <w:rFonts w:eastAsia="Times New Roman" w:cs="Times New Roman"/>
          <w:sz w:val="28"/>
          <w:szCs w:val="28"/>
          <w:lang w:eastAsia="ru-RU"/>
        </w:rPr>
        <w:t xml:space="preserve"> заказчиков</w:t>
      </w:r>
      <w:r w:rsidR="004E1EF1">
        <w:rPr>
          <w:rFonts w:eastAsia="Times New Roman" w:cs="Times New Roman"/>
          <w:sz w:val="28"/>
          <w:szCs w:val="28"/>
          <w:lang w:eastAsia="ru-RU"/>
        </w:rPr>
        <w:t xml:space="preserve"> в соответствии </w:t>
      </w:r>
      <w:r w:rsidR="004E1EF1" w:rsidRPr="00A73803">
        <w:rPr>
          <w:rFonts w:eastAsia="Times New Roman" w:cs="Times New Roman"/>
          <w:sz w:val="28"/>
          <w:szCs w:val="28"/>
          <w:lang w:eastAsia="ru-RU"/>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E1EF1">
        <w:rPr>
          <w:rFonts w:eastAsia="Times New Roman" w:cs="Times New Roman"/>
          <w:sz w:val="28"/>
          <w:szCs w:val="28"/>
          <w:lang w:eastAsia="ru-RU"/>
        </w:rPr>
        <w:t xml:space="preserve">» (далее – Закон о контрактной системе) </w:t>
      </w:r>
      <w:r w:rsidR="004917D2">
        <w:rPr>
          <w:rFonts w:eastAsia="Times New Roman" w:cs="Times New Roman"/>
          <w:sz w:val="28"/>
          <w:szCs w:val="28"/>
          <w:lang w:eastAsia="ru-RU"/>
        </w:rPr>
        <w:t xml:space="preserve">и </w:t>
      </w:r>
      <w:r w:rsidR="00EB2197">
        <w:rPr>
          <w:rFonts w:eastAsia="Times New Roman" w:cs="Times New Roman"/>
          <w:sz w:val="28"/>
          <w:szCs w:val="28"/>
          <w:lang w:eastAsia="ru-RU"/>
        </w:rPr>
        <w:t>3</w:t>
      </w:r>
      <w:r w:rsidR="004E1EF1">
        <w:rPr>
          <w:rFonts w:eastAsia="Times New Roman" w:cs="Times New Roman"/>
          <w:sz w:val="28"/>
          <w:szCs w:val="28"/>
          <w:lang w:eastAsia="ru-RU"/>
        </w:rPr>
        <w:t xml:space="preserve"> заказчика</w:t>
      </w:r>
      <w:r w:rsidR="009A18CE">
        <w:rPr>
          <w:rFonts w:eastAsia="Times New Roman" w:cs="Times New Roman"/>
          <w:sz w:val="28"/>
          <w:szCs w:val="28"/>
          <w:lang w:eastAsia="ru-RU"/>
        </w:rPr>
        <w:t>м</w:t>
      </w:r>
      <w:r w:rsidR="00474AE6">
        <w:rPr>
          <w:rFonts w:eastAsia="Times New Roman" w:cs="Times New Roman"/>
          <w:sz w:val="28"/>
          <w:szCs w:val="28"/>
          <w:lang w:eastAsia="ru-RU"/>
        </w:rPr>
        <w:t>,</w:t>
      </w:r>
      <w:r w:rsidR="009A18CE">
        <w:rPr>
          <w:rFonts w:eastAsia="Times New Roman" w:cs="Times New Roman"/>
          <w:sz w:val="28"/>
          <w:szCs w:val="28"/>
          <w:lang w:eastAsia="ru-RU"/>
        </w:rPr>
        <w:t xml:space="preserve"> проводившим</w:t>
      </w:r>
      <w:r w:rsidR="004E1EF1">
        <w:rPr>
          <w:rFonts w:eastAsia="Times New Roman" w:cs="Times New Roman"/>
          <w:sz w:val="28"/>
          <w:szCs w:val="28"/>
          <w:lang w:eastAsia="ru-RU"/>
        </w:rPr>
        <w:t xml:space="preserve"> закупку </w:t>
      </w:r>
      <w:r w:rsidR="00474AE6">
        <w:rPr>
          <w:rFonts w:eastAsia="Times New Roman" w:cs="Times New Roman"/>
          <w:sz w:val="28"/>
          <w:szCs w:val="28"/>
          <w:lang w:eastAsia="ru-RU"/>
        </w:rPr>
        <w:t xml:space="preserve">в соответствии с </w:t>
      </w:r>
      <w:r w:rsidR="004E1EF1">
        <w:rPr>
          <w:rFonts w:eastAsia="Times New Roman" w:cs="Times New Roman"/>
          <w:sz w:val="28"/>
          <w:szCs w:val="28"/>
          <w:lang w:eastAsia="ru-RU"/>
        </w:rPr>
        <w:t>ч. 4 ст. 15 Закон</w:t>
      </w:r>
      <w:r w:rsidR="00D60C04">
        <w:rPr>
          <w:rFonts w:eastAsia="Times New Roman" w:cs="Times New Roman"/>
          <w:sz w:val="28"/>
          <w:szCs w:val="28"/>
          <w:lang w:eastAsia="ru-RU"/>
        </w:rPr>
        <w:t>а</w:t>
      </w:r>
      <w:r w:rsidR="004E1EF1">
        <w:rPr>
          <w:rFonts w:eastAsia="Times New Roman" w:cs="Times New Roman"/>
          <w:sz w:val="28"/>
          <w:szCs w:val="28"/>
          <w:lang w:eastAsia="ru-RU"/>
        </w:rPr>
        <w:t xml:space="preserve"> о контрактной системе</w:t>
      </w:r>
      <w:proofErr w:type="gramEnd"/>
      <w:r w:rsidR="00786F13">
        <w:rPr>
          <w:rFonts w:eastAsia="Times New Roman" w:cs="Times New Roman"/>
          <w:sz w:val="28"/>
          <w:szCs w:val="28"/>
          <w:lang w:eastAsia="ru-RU"/>
        </w:rPr>
        <w:t>. Сводные данные по з</w:t>
      </w:r>
      <w:r w:rsidR="009B01AF">
        <w:rPr>
          <w:rFonts w:eastAsia="Times New Roman" w:cs="Times New Roman"/>
          <w:sz w:val="28"/>
          <w:szCs w:val="28"/>
          <w:lang w:eastAsia="ru-RU"/>
        </w:rPr>
        <w:t>акупкам за отчетный период пред</w:t>
      </w:r>
      <w:r w:rsidR="00786F13">
        <w:rPr>
          <w:rFonts w:eastAsia="Times New Roman" w:cs="Times New Roman"/>
          <w:sz w:val="28"/>
          <w:szCs w:val="28"/>
          <w:lang w:eastAsia="ru-RU"/>
        </w:rPr>
        <w:t>ставлены в таблице №1. Количество закупок в разрезе заказчиков представлено на диаграмме №</w:t>
      </w:r>
      <w:r w:rsidR="009B01AF">
        <w:rPr>
          <w:rFonts w:eastAsia="Times New Roman" w:cs="Times New Roman"/>
          <w:sz w:val="28"/>
          <w:szCs w:val="28"/>
          <w:lang w:eastAsia="ru-RU"/>
        </w:rPr>
        <w:t xml:space="preserve"> </w:t>
      </w:r>
      <w:r w:rsidR="00786F13">
        <w:rPr>
          <w:rFonts w:eastAsia="Times New Roman" w:cs="Times New Roman"/>
          <w:sz w:val="28"/>
          <w:szCs w:val="28"/>
          <w:lang w:eastAsia="ru-RU"/>
        </w:rPr>
        <w:t>1, в разрезе размера начальной максимальной цены контракта (далее-НМЦК) представлено на диаграмме №</w:t>
      </w:r>
      <w:r w:rsidR="00D17D36">
        <w:rPr>
          <w:rFonts w:eastAsia="Times New Roman" w:cs="Times New Roman"/>
          <w:sz w:val="28"/>
          <w:szCs w:val="28"/>
          <w:lang w:eastAsia="ru-RU"/>
        </w:rPr>
        <w:t xml:space="preserve"> </w:t>
      </w:r>
      <w:r w:rsidR="00786F13">
        <w:rPr>
          <w:rFonts w:eastAsia="Times New Roman" w:cs="Times New Roman"/>
          <w:sz w:val="28"/>
          <w:szCs w:val="28"/>
          <w:lang w:eastAsia="ru-RU"/>
        </w:rPr>
        <w:t>2.</w:t>
      </w:r>
    </w:p>
    <w:p w:rsidR="00275CA4" w:rsidRDefault="00275CA4" w:rsidP="00864A9C">
      <w:pPr>
        <w:widowControl w:val="0"/>
        <w:spacing w:after="0" w:line="240" w:lineRule="auto"/>
        <w:ind w:firstLine="709"/>
        <w:jc w:val="both"/>
        <w:rPr>
          <w:rFonts w:eastAsia="Times New Roman" w:cs="Times New Roman"/>
          <w:sz w:val="28"/>
          <w:szCs w:val="28"/>
          <w:lang w:eastAsia="ru-RU"/>
        </w:rPr>
      </w:pPr>
    </w:p>
    <w:p w:rsidR="00E66776" w:rsidRPr="00275CA4" w:rsidRDefault="00275CA4" w:rsidP="00275CA4">
      <w:pPr>
        <w:spacing w:after="0" w:line="240" w:lineRule="auto"/>
        <w:ind w:left="720"/>
        <w:jc w:val="right"/>
        <w:rPr>
          <w:rFonts w:eastAsia="Times New Roman" w:cs="Times New Roman"/>
          <w:b/>
          <w:sz w:val="28"/>
          <w:szCs w:val="28"/>
          <w:lang w:eastAsia="ru-RU"/>
        </w:rPr>
      </w:pPr>
      <w:r w:rsidRPr="00275CA4">
        <w:rPr>
          <w:rFonts w:eastAsia="Times New Roman" w:cs="Times New Roman"/>
          <w:b/>
          <w:sz w:val="28"/>
          <w:szCs w:val="28"/>
          <w:lang w:eastAsia="ru-RU"/>
        </w:rPr>
        <w:t xml:space="preserve">Таблица </w:t>
      </w:r>
      <w:r>
        <w:rPr>
          <w:rFonts w:eastAsia="Times New Roman" w:cs="Times New Roman"/>
          <w:b/>
          <w:sz w:val="28"/>
          <w:szCs w:val="28"/>
          <w:lang w:eastAsia="ru-RU"/>
        </w:rPr>
        <w:t>№1</w:t>
      </w:r>
    </w:p>
    <w:tbl>
      <w:tblPr>
        <w:tblStyle w:val="ac"/>
        <w:tblW w:w="10490" w:type="dxa"/>
        <w:tblInd w:w="108" w:type="dxa"/>
        <w:shd w:val="clear" w:color="auto" w:fill="EEECE1" w:themeFill="background2"/>
        <w:tblLayout w:type="fixed"/>
        <w:tblLook w:val="04A0" w:firstRow="1" w:lastRow="0" w:firstColumn="1" w:lastColumn="0" w:noHBand="0" w:noVBand="1"/>
      </w:tblPr>
      <w:tblGrid>
        <w:gridCol w:w="709"/>
        <w:gridCol w:w="5954"/>
        <w:gridCol w:w="1417"/>
        <w:gridCol w:w="2410"/>
      </w:tblGrid>
      <w:tr w:rsidR="000C66B9" w:rsidRPr="00CC0EB9" w:rsidTr="00802CBD">
        <w:trPr>
          <w:trHeight w:val="676"/>
          <w:tblHeader/>
        </w:trPr>
        <w:tc>
          <w:tcPr>
            <w:tcW w:w="709" w:type="dxa"/>
            <w:tcBorders>
              <w:bottom w:val="single" w:sz="4" w:space="0" w:color="auto"/>
            </w:tcBorders>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 xml:space="preserve">№ </w:t>
            </w:r>
            <w:proofErr w:type="gramStart"/>
            <w:r w:rsidRPr="00802CBD">
              <w:rPr>
                <w:rFonts w:eastAsia="Times New Roman" w:cs="Times New Roman"/>
                <w:sz w:val="24"/>
                <w:szCs w:val="24"/>
                <w:lang w:eastAsia="ru-RU"/>
              </w:rPr>
              <w:t>п</w:t>
            </w:r>
            <w:proofErr w:type="gramEnd"/>
            <w:r w:rsidRPr="00802CBD">
              <w:rPr>
                <w:rFonts w:eastAsia="Times New Roman" w:cs="Times New Roman"/>
                <w:sz w:val="24"/>
                <w:szCs w:val="24"/>
                <w:lang w:eastAsia="ru-RU"/>
              </w:rPr>
              <w:t>/п</w:t>
            </w:r>
          </w:p>
        </w:tc>
        <w:tc>
          <w:tcPr>
            <w:tcW w:w="5954" w:type="dxa"/>
            <w:tcBorders>
              <w:bottom w:val="single" w:sz="4" w:space="0" w:color="auto"/>
            </w:tcBorders>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Наименование заказчика</w:t>
            </w:r>
          </w:p>
        </w:tc>
        <w:tc>
          <w:tcPr>
            <w:tcW w:w="1417" w:type="dxa"/>
            <w:tcBorders>
              <w:bottom w:val="single" w:sz="4" w:space="0" w:color="auto"/>
            </w:tcBorders>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Количество опубликованных процедур, шт.</w:t>
            </w:r>
          </w:p>
        </w:tc>
        <w:tc>
          <w:tcPr>
            <w:tcW w:w="2410" w:type="dxa"/>
            <w:tcBorders>
              <w:bottom w:val="single" w:sz="4" w:space="0" w:color="auto"/>
            </w:tcBorders>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 xml:space="preserve">Сумма </w:t>
            </w:r>
            <w:r w:rsidR="009068D2" w:rsidRPr="00802CBD">
              <w:rPr>
                <w:rFonts w:eastAsia="Times New Roman" w:cs="Times New Roman"/>
                <w:sz w:val="24"/>
                <w:szCs w:val="24"/>
                <w:lang w:eastAsia="ru-RU"/>
              </w:rPr>
              <w:t>начальных максимальных цен</w:t>
            </w:r>
            <w:r w:rsidRPr="00802CBD">
              <w:rPr>
                <w:rFonts w:eastAsia="Times New Roman" w:cs="Times New Roman"/>
                <w:sz w:val="24"/>
                <w:szCs w:val="24"/>
                <w:lang w:eastAsia="ru-RU"/>
              </w:rPr>
              <w:t xml:space="preserve"> опубликованных процедур, руб.</w:t>
            </w:r>
          </w:p>
        </w:tc>
      </w:tr>
      <w:tr w:rsidR="000C66B9" w:rsidRPr="00CC0EB9" w:rsidTr="00802CBD">
        <w:trPr>
          <w:trHeight w:val="250"/>
          <w:tblHeader/>
        </w:trPr>
        <w:tc>
          <w:tcPr>
            <w:tcW w:w="709" w:type="dxa"/>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1</w:t>
            </w:r>
          </w:p>
        </w:tc>
        <w:tc>
          <w:tcPr>
            <w:tcW w:w="5954" w:type="dxa"/>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2</w:t>
            </w:r>
          </w:p>
        </w:tc>
        <w:tc>
          <w:tcPr>
            <w:tcW w:w="1417" w:type="dxa"/>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3</w:t>
            </w:r>
          </w:p>
        </w:tc>
        <w:tc>
          <w:tcPr>
            <w:tcW w:w="2410" w:type="dxa"/>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4</w:t>
            </w:r>
          </w:p>
        </w:tc>
      </w:tr>
      <w:tr w:rsidR="002D0AD6" w:rsidRPr="00BF3724" w:rsidTr="00802CBD">
        <w:trPr>
          <w:trHeight w:val="70"/>
        </w:trPr>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автономное учреждение  дополнительного образования Центр образования и профессиональной ориентации</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w:t>
            </w:r>
          </w:p>
        </w:tc>
        <w:tc>
          <w:tcPr>
            <w:tcW w:w="2410" w:type="dxa"/>
            <w:shd w:val="clear" w:color="auto" w:fill="EEECE1" w:themeFill="background2"/>
            <w:vAlign w:val="center"/>
          </w:tcPr>
          <w:p w:rsidR="002D0AD6" w:rsidRPr="000468DE" w:rsidRDefault="002D0AD6" w:rsidP="009132B9">
            <w:pPr>
              <w:jc w:val="center"/>
              <w:rPr>
                <w:rFonts w:cs="Arial"/>
                <w:sz w:val="28"/>
                <w:szCs w:val="28"/>
              </w:rPr>
            </w:pPr>
            <w:r w:rsidRPr="000468DE">
              <w:rPr>
                <w:rFonts w:cs="Arial"/>
                <w:sz w:val="28"/>
                <w:szCs w:val="28"/>
              </w:rPr>
              <w:t>22 664 809,2</w:t>
            </w:r>
          </w:p>
        </w:tc>
      </w:tr>
      <w:tr w:rsidR="002D0AD6" w:rsidRPr="00BF3724" w:rsidTr="00802CBD">
        <w:trPr>
          <w:trHeight w:val="316"/>
        </w:trPr>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2</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 xml:space="preserve">Муниципальное бюджетное учреждение культуры </w:t>
            </w:r>
            <w:proofErr w:type="spellStart"/>
            <w:r w:rsidRPr="000468DE">
              <w:rPr>
                <w:sz w:val="28"/>
                <w:szCs w:val="28"/>
              </w:rPr>
              <w:t>Верхнепышминский</w:t>
            </w:r>
            <w:proofErr w:type="spellEnd"/>
            <w:r w:rsidRPr="000468DE">
              <w:rPr>
                <w:sz w:val="28"/>
                <w:szCs w:val="28"/>
              </w:rPr>
              <w:t xml:space="preserve"> исторический музей</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591 314,00</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3</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бюджетное учреждение «Манин парк»</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3 399 997,16</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4</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автономное учреждение дополнительного образования Спортивная школа по автомотоспорту</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63 884 972,24</w:t>
            </w:r>
          </w:p>
        </w:tc>
      </w:tr>
      <w:tr w:rsidR="002D0AD6" w:rsidRPr="00373A4A"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5</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бюджетное  учреждение Специализированная похоронная служба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2 730 000,00</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lastRenderedPageBreak/>
              <w:t>6</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автономное учреждение дополнительного образования Спортивная школа олимпийского резерва «Лидер»</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w:t>
            </w:r>
          </w:p>
        </w:tc>
        <w:tc>
          <w:tcPr>
            <w:tcW w:w="2410" w:type="dxa"/>
            <w:shd w:val="clear" w:color="auto" w:fill="EEECE1" w:themeFill="background2"/>
            <w:vAlign w:val="center"/>
          </w:tcPr>
          <w:p w:rsidR="002D0AD6" w:rsidRPr="000468DE" w:rsidRDefault="002D0AD6" w:rsidP="009132B9">
            <w:pPr>
              <w:jc w:val="center"/>
              <w:rPr>
                <w:rFonts w:cs="Arial"/>
                <w:sz w:val="28"/>
                <w:szCs w:val="28"/>
              </w:rPr>
            </w:pPr>
            <w:r w:rsidRPr="000468DE">
              <w:rPr>
                <w:rFonts w:cs="Arial"/>
                <w:sz w:val="28"/>
                <w:szCs w:val="28"/>
              </w:rPr>
              <w:t>44 626 520,00</w:t>
            </w:r>
          </w:p>
          <w:p w:rsidR="002D0AD6" w:rsidRPr="000468DE" w:rsidRDefault="002D0AD6" w:rsidP="009132B9">
            <w:pPr>
              <w:jc w:val="center"/>
              <w:rPr>
                <w:sz w:val="28"/>
                <w:szCs w:val="28"/>
              </w:rPr>
            </w:pP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7</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proofErr w:type="spellStart"/>
            <w:r w:rsidRPr="000468DE">
              <w:rPr>
                <w:sz w:val="28"/>
                <w:szCs w:val="28"/>
              </w:rPr>
              <w:t>Красненская</w:t>
            </w:r>
            <w:proofErr w:type="spellEnd"/>
            <w:r w:rsidRPr="000468DE">
              <w:rPr>
                <w:sz w:val="28"/>
                <w:szCs w:val="28"/>
              </w:rPr>
              <w:t xml:space="preserve"> поселковая администрация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2</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20 526 187,23</w:t>
            </w:r>
          </w:p>
        </w:tc>
      </w:tr>
      <w:tr w:rsidR="002D0AD6" w:rsidRPr="002128D5"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8</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бюджетное учреждение Центр пространственного развития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3</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2 136 648,5</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9</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бюджетное учреждение культуры Объединение сельских клубов «Луч»</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3</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3 671 856,96</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10</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Мостовская сельская администрация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3</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9 364 848, 94</w:t>
            </w:r>
          </w:p>
        </w:tc>
      </w:tr>
      <w:tr w:rsidR="002D0AD6" w:rsidRPr="00FD5951"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11</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Комитет по управлению имуществом администрации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4</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1 531 100,00</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12</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proofErr w:type="spellStart"/>
            <w:r w:rsidRPr="000468DE">
              <w:rPr>
                <w:sz w:val="28"/>
                <w:szCs w:val="28"/>
              </w:rPr>
              <w:t>Исетская</w:t>
            </w:r>
            <w:proofErr w:type="spellEnd"/>
            <w:r w:rsidRPr="000468DE">
              <w:rPr>
                <w:sz w:val="28"/>
                <w:szCs w:val="28"/>
              </w:rPr>
              <w:t xml:space="preserve"> поселковая администрация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4</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5 965 432,11</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13</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 xml:space="preserve">Муниципальное бюджетное учреждение культуры </w:t>
            </w:r>
            <w:proofErr w:type="spellStart"/>
            <w:r w:rsidRPr="000468DE">
              <w:rPr>
                <w:sz w:val="28"/>
                <w:szCs w:val="28"/>
              </w:rPr>
              <w:t>Верхнепышминская</w:t>
            </w:r>
            <w:proofErr w:type="spellEnd"/>
            <w:r w:rsidRPr="000468DE">
              <w:rPr>
                <w:sz w:val="28"/>
                <w:szCs w:val="28"/>
              </w:rPr>
              <w:t xml:space="preserve"> централизованная библиотечная система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4</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4 902 391,22</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14</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казенное учреждение Управление образования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5</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1 372 100,83</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15</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proofErr w:type="spellStart"/>
            <w:r w:rsidRPr="000468DE">
              <w:rPr>
                <w:sz w:val="28"/>
                <w:szCs w:val="28"/>
              </w:rPr>
              <w:t>Балтымская</w:t>
            </w:r>
            <w:proofErr w:type="spellEnd"/>
            <w:r w:rsidRPr="000468DE">
              <w:rPr>
                <w:sz w:val="28"/>
                <w:szCs w:val="28"/>
              </w:rPr>
              <w:t xml:space="preserve"> сельская администрация ГО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6</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40 288 140,54</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16</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Кедровская поселковая администрация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6</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11 144 863,85</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17</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казенное учреждение Управление культуры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6</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765 540,00</w:t>
            </w:r>
          </w:p>
        </w:tc>
      </w:tr>
      <w:tr w:rsidR="00BF3724" w:rsidRPr="00BF3724" w:rsidTr="00802CBD">
        <w:trPr>
          <w:trHeight w:val="70"/>
        </w:trPr>
        <w:tc>
          <w:tcPr>
            <w:tcW w:w="709" w:type="dxa"/>
            <w:shd w:val="clear" w:color="auto" w:fill="EEECE1" w:themeFill="background2"/>
          </w:tcPr>
          <w:p w:rsidR="000F3D17"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18</w:t>
            </w:r>
          </w:p>
        </w:tc>
        <w:tc>
          <w:tcPr>
            <w:tcW w:w="5954" w:type="dxa"/>
            <w:shd w:val="clear" w:color="auto" w:fill="EEECE1" w:themeFill="background2"/>
          </w:tcPr>
          <w:p w:rsidR="000F3D17" w:rsidRPr="000468DE" w:rsidRDefault="000F3D17" w:rsidP="00EB1555">
            <w:pPr>
              <w:widowControl w:val="0"/>
              <w:spacing w:after="0" w:line="240" w:lineRule="auto"/>
              <w:jc w:val="center"/>
              <w:rPr>
                <w:sz w:val="28"/>
                <w:szCs w:val="28"/>
              </w:rPr>
            </w:pPr>
            <w:r w:rsidRPr="000468DE">
              <w:rPr>
                <w:sz w:val="28"/>
                <w:szCs w:val="28"/>
              </w:rPr>
              <w:t>Администрация городского округа Верхняя Пышма</w:t>
            </w:r>
          </w:p>
        </w:tc>
        <w:tc>
          <w:tcPr>
            <w:tcW w:w="1417" w:type="dxa"/>
            <w:shd w:val="clear" w:color="auto" w:fill="EEECE1" w:themeFill="background2"/>
          </w:tcPr>
          <w:p w:rsidR="000F3D17" w:rsidRPr="000468DE" w:rsidRDefault="000F3D17" w:rsidP="009132B9">
            <w:pPr>
              <w:jc w:val="center"/>
              <w:rPr>
                <w:sz w:val="28"/>
                <w:szCs w:val="28"/>
              </w:rPr>
            </w:pPr>
            <w:r w:rsidRPr="000468DE">
              <w:rPr>
                <w:sz w:val="28"/>
                <w:szCs w:val="28"/>
              </w:rPr>
              <w:t>9</w:t>
            </w:r>
          </w:p>
        </w:tc>
        <w:tc>
          <w:tcPr>
            <w:tcW w:w="2410" w:type="dxa"/>
            <w:shd w:val="clear" w:color="auto" w:fill="EEECE1" w:themeFill="background2"/>
          </w:tcPr>
          <w:p w:rsidR="000F3D17" w:rsidRPr="000468DE" w:rsidRDefault="000F3D17" w:rsidP="009132B9">
            <w:pPr>
              <w:jc w:val="center"/>
              <w:rPr>
                <w:sz w:val="28"/>
                <w:szCs w:val="28"/>
              </w:rPr>
            </w:pPr>
            <w:r w:rsidRPr="000468DE">
              <w:rPr>
                <w:sz w:val="28"/>
                <w:szCs w:val="28"/>
              </w:rPr>
              <w:t>14 947 099,7</w:t>
            </w:r>
          </w:p>
        </w:tc>
      </w:tr>
      <w:tr w:rsidR="002D0AD6" w:rsidRPr="00354998"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19</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бюджетное учреждение Дорожно-эксплуатационное управление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13</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9 262 500,57</w:t>
            </w:r>
          </w:p>
        </w:tc>
      </w:tr>
      <w:tr w:rsidR="002D0AD6" w:rsidRPr="00BF3724"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20</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 xml:space="preserve">Муниципальное казенное учреждение Управление физической культуры, спорта и молодежной политики </w:t>
            </w:r>
            <w:r w:rsidR="00E81899">
              <w:rPr>
                <w:sz w:val="28"/>
                <w:szCs w:val="28"/>
              </w:rPr>
              <w:t xml:space="preserve"> </w:t>
            </w:r>
            <w:r w:rsidRPr="000468DE">
              <w:rPr>
                <w:sz w:val="28"/>
                <w:szCs w:val="28"/>
              </w:rPr>
              <w:t>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17</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4 504 316,48</w:t>
            </w:r>
          </w:p>
        </w:tc>
      </w:tr>
      <w:tr w:rsidR="002D0AD6" w:rsidRPr="00431DF7" w:rsidTr="00802CBD">
        <w:tc>
          <w:tcPr>
            <w:tcW w:w="709" w:type="dxa"/>
            <w:shd w:val="clear" w:color="auto" w:fill="EEECE1" w:themeFill="background2"/>
            <w:vAlign w:val="center"/>
          </w:tcPr>
          <w:p w:rsidR="002D0AD6"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lastRenderedPageBreak/>
              <w:t>21</w:t>
            </w:r>
          </w:p>
        </w:tc>
        <w:tc>
          <w:tcPr>
            <w:tcW w:w="5954" w:type="dxa"/>
            <w:shd w:val="clear" w:color="auto" w:fill="EEECE1" w:themeFill="background2"/>
            <w:vAlign w:val="center"/>
          </w:tcPr>
          <w:p w:rsidR="002D0AD6" w:rsidRPr="000468DE" w:rsidRDefault="002D0AD6" w:rsidP="00EB1555">
            <w:pPr>
              <w:widowControl w:val="0"/>
              <w:spacing w:after="0" w:line="240" w:lineRule="auto"/>
              <w:jc w:val="center"/>
              <w:rPr>
                <w:sz w:val="28"/>
                <w:szCs w:val="28"/>
              </w:rPr>
            </w:pPr>
            <w:r w:rsidRPr="000468DE">
              <w:rPr>
                <w:sz w:val="28"/>
                <w:szCs w:val="28"/>
              </w:rPr>
              <w:t>Муниципальное казенное учреждение Управление гражданской защиты городского округа Верхняя Пышма</w:t>
            </w:r>
          </w:p>
        </w:tc>
        <w:tc>
          <w:tcPr>
            <w:tcW w:w="1417"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24</w:t>
            </w:r>
          </w:p>
        </w:tc>
        <w:tc>
          <w:tcPr>
            <w:tcW w:w="2410" w:type="dxa"/>
            <w:shd w:val="clear" w:color="auto" w:fill="EEECE1" w:themeFill="background2"/>
            <w:vAlign w:val="center"/>
          </w:tcPr>
          <w:p w:rsidR="002D0AD6" w:rsidRPr="000468DE" w:rsidRDefault="002D0AD6" w:rsidP="009132B9">
            <w:pPr>
              <w:jc w:val="center"/>
              <w:rPr>
                <w:sz w:val="28"/>
                <w:szCs w:val="28"/>
              </w:rPr>
            </w:pPr>
            <w:r w:rsidRPr="000468DE">
              <w:rPr>
                <w:sz w:val="28"/>
                <w:szCs w:val="28"/>
              </w:rPr>
              <w:t>16 145 680,66</w:t>
            </w:r>
          </w:p>
        </w:tc>
      </w:tr>
      <w:tr w:rsidR="004E3B22" w:rsidRPr="00293A6C" w:rsidTr="00802CBD">
        <w:tc>
          <w:tcPr>
            <w:tcW w:w="709" w:type="dxa"/>
            <w:shd w:val="clear" w:color="auto" w:fill="EEECE1" w:themeFill="background2"/>
            <w:vAlign w:val="center"/>
          </w:tcPr>
          <w:p w:rsidR="004E3B22"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22</w:t>
            </w:r>
          </w:p>
        </w:tc>
        <w:tc>
          <w:tcPr>
            <w:tcW w:w="5954" w:type="dxa"/>
            <w:shd w:val="clear" w:color="auto" w:fill="EEECE1" w:themeFill="background2"/>
            <w:vAlign w:val="center"/>
          </w:tcPr>
          <w:p w:rsidR="004E3B22" w:rsidRPr="000468DE" w:rsidRDefault="004E3B22" w:rsidP="00EB1555">
            <w:pPr>
              <w:widowControl w:val="0"/>
              <w:spacing w:after="0" w:line="240" w:lineRule="auto"/>
              <w:jc w:val="center"/>
              <w:rPr>
                <w:sz w:val="28"/>
                <w:szCs w:val="28"/>
              </w:rPr>
            </w:pPr>
            <w:r w:rsidRPr="000468DE">
              <w:rPr>
                <w:sz w:val="28"/>
                <w:szCs w:val="28"/>
              </w:rPr>
              <w:t>Муниципальное казенное учреждение Управление капитального строительства и жилищно-коммунального хозяйства городского округа Верхняя Пышма</w:t>
            </w:r>
          </w:p>
        </w:tc>
        <w:tc>
          <w:tcPr>
            <w:tcW w:w="1417" w:type="dxa"/>
            <w:shd w:val="clear" w:color="auto" w:fill="EEECE1" w:themeFill="background2"/>
            <w:vAlign w:val="center"/>
          </w:tcPr>
          <w:p w:rsidR="004E3B22" w:rsidRPr="000468DE" w:rsidRDefault="004E3B22" w:rsidP="009132B9">
            <w:pPr>
              <w:jc w:val="center"/>
              <w:rPr>
                <w:sz w:val="28"/>
                <w:szCs w:val="28"/>
              </w:rPr>
            </w:pPr>
            <w:r w:rsidRPr="000468DE">
              <w:rPr>
                <w:sz w:val="28"/>
                <w:szCs w:val="28"/>
              </w:rPr>
              <w:t>27</w:t>
            </w:r>
          </w:p>
        </w:tc>
        <w:tc>
          <w:tcPr>
            <w:tcW w:w="2410" w:type="dxa"/>
            <w:shd w:val="clear" w:color="auto" w:fill="EEECE1" w:themeFill="background2"/>
            <w:vAlign w:val="center"/>
          </w:tcPr>
          <w:p w:rsidR="004E3B22" w:rsidRPr="000468DE" w:rsidRDefault="004E3B22" w:rsidP="009132B9">
            <w:pPr>
              <w:jc w:val="center"/>
              <w:rPr>
                <w:sz w:val="28"/>
                <w:szCs w:val="28"/>
              </w:rPr>
            </w:pPr>
            <w:r w:rsidRPr="000468DE">
              <w:rPr>
                <w:sz w:val="28"/>
                <w:szCs w:val="28"/>
              </w:rPr>
              <w:t>1 020 391 445,75</w:t>
            </w:r>
          </w:p>
        </w:tc>
      </w:tr>
      <w:tr w:rsidR="004E3B22" w:rsidRPr="00EF3DC3" w:rsidTr="00802CBD">
        <w:tc>
          <w:tcPr>
            <w:tcW w:w="709" w:type="dxa"/>
            <w:shd w:val="clear" w:color="auto" w:fill="EEECE1" w:themeFill="background2"/>
            <w:vAlign w:val="center"/>
          </w:tcPr>
          <w:p w:rsidR="004E3B22" w:rsidRPr="000468DE" w:rsidRDefault="000468DE" w:rsidP="009132B9">
            <w:pPr>
              <w:widowControl w:val="0"/>
              <w:spacing w:after="0" w:line="240" w:lineRule="auto"/>
              <w:jc w:val="center"/>
              <w:rPr>
                <w:rFonts w:eastAsia="Times New Roman" w:cs="Times New Roman"/>
                <w:sz w:val="28"/>
                <w:szCs w:val="28"/>
                <w:lang w:eastAsia="ru-RU"/>
              </w:rPr>
            </w:pPr>
            <w:r w:rsidRPr="000468DE">
              <w:rPr>
                <w:rFonts w:eastAsia="Times New Roman" w:cs="Times New Roman"/>
                <w:sz w:val="28"/>
                <w:szCs w:val="28"/>
                <w:lang w:eastAsia="ru-RU"/>
              </w:rPr>
              <w:t>23</w:t>
            </w:r>
          </w:p>
        </w:tc>
        <w:tc>
          <w:tcPr>
            <w:tcW w:w="5954" w:type="dxa"/>
            <w:shd w:val="clear" w:color="auto" w:fill="EEECE1" w:themeFill="background2"/>
            <w:vAlign w:val="center"/>
          </w:tcPr>
          <w:p w:rsidR="004E3B22" w:rsidRPr="000468DE" w:rsidRDefault="004E3B22" w:rsidP="00EB1555">
            <w:pPr>
              <w:widowControl w:val="0"/>
              <w:spacing w:after="0" w:line="240" w:lineRule="auto"/>
              <w:jc w:val="center"/>
              <w:rPr>
                <w:sz w:val="28"/>
                <w:szCs w:val="28"/>
              </w:rPr>
            </w:pPr>
            <w:r w:rsidRPr="000468DE">
              <w:rPr>
                <w:sz w:val="28"/>
                <w:szCs w:val="28"/>
              </w:rPr>
              <w:t>Муниципальное казенное учреждение Административно-хозяйственное управление</w:t>
            </w:r>
          </w:p>
        </w:tc>
        <w:tc>
          <w:tcPr>
            <w:tcW w:w="1417" w:type="dxa"/>
            <w:shd w:val="clear" w:color="auto" w:fill="EEECE1" w:themeFill="background2"/>
            <w:vAlign w:val="center"/>
          </w:tcPr>
          <w:p w:rsidR="004E3B22" w:rsidRPr="000468DE" w:rsidRDefault="004E3B22" w:rsidP="009132B9">
            <w:pPr>
              <w:jc w:val="center"/>
              <w:rPr>
                <w:sz w:val="28"/>
                <w:szCs w:val="28"/>
              </w:rPr>
            </w:pPr>
            <w:r w:rsidRPr="000468DE">
              <w:rPr>
                <w:sz w:val="28"/>
                <w:szCs w:val="28"/>
              </w:rPr>
              <w:t>27</w:t>
            </w:r>
          </w:p>
        </w:tc>
        <w:tc>
          <w:tcPr>
            <w:tcW w:w="2410" w:type="dxa"/>
            <w:shd w:val="clear" w:color="auto" w:fill="EEECE1" w:themeFill="background2"/>
            <w:vAlign w:val="center"/>
          </w:tcPr>
          <w:p w:rsidR="004E3B22" w:rsidRPr="000468DE" w:rsidRDefault="004E3B22" w:rsidP="009132B9">
            <w:pPr>
              <w:jc w:val="center"/>
              <w:rPr>
                <w:sz w:val="28"/>
                <w:szCs w:val="28"/>
              </w:rPr>
            </w:pPr>
            <w:r w:rsidRPr="000468DE">
              <w:rPr>
                <w:sz w:val="28"/>
                <w:szCs w:val="28"/>
              </w:rPr>
              <w:t>33 568 875,54</w:t>
            </w:r>
          </w:p>
        </w:tc>
      </w:tr>
      <w:tr w:rsidR="00006DD9" w:rsidRPr="00006DD9" w:rsidTr="00802CBD">
        <w:tc>
          <w:tcPr>
            <w:tcW w:w="6663" w:type="dxa"/>
            <w:gridSpan w:val="2"/>
            <w:shd w:val="clear" w:color="auto" w:fill="EEECE1" w:themeFill="background2"/>
            <w:vAlign w:val="center"/>
          </w:tcPr>
          <w:p w:rsidR="008E61D1" w:rsidRPr="00006DD9" w:rsidRDefault="00577425" w:rsidP="00577425">
            <w:pPr>
              <w:widowControl w:val="0"/>
              <w:spacing w:after="0" w:line="240" w:lineRule="auto"/>
              <w:jc w:val="center"/>
              <w:rPr>
                <w:b/>
                <w:sz w:val="28"/>
                <w:szCs w:val="28"/>
              </w:rPr>
            </w:pPr>
            <w:r w:rsidRPr="00006DD9">
              <w:rPr>
                <w:b/>
                <w:sz w:val="28"/>
                <w:szCs w:val="28"/>
              </w:rPr>
              <w:t>ИТОГО</w:t>
            </w:r>
            <w:r w:rsidR="008E61D1" w:rsidRPr="00006DD9">
              <w:rPr>
                <w:b/>
                <w:sz w:val="28"/>
                <w:szCs w:val="28"/>
              </w:rPr>
              <w:t>:</w:t>
            </w:r>
          </w:p>
        </w:tc>
        <w:tc>
          <w:tcPr>
            <w:tcW w:w="1417" w:type="dxa"/>
            <w:shd w:val="clear" w:color="auto" w:fill="EEECE1" w:themeFill="background2"/>
            <w:vAlign w:val="center"/>
          </w:tcPr>
          <w:p w:rsidR="008E61D1" w:rsidRPr="00006DD9" w:rsidRDefault="00D0292E" w:rsidP="00F02E00">
            <w:pPr>
              <w:widowControl w:val="0"/>
              <w:spacing w:after="0" w:line="240" w:lineRule="auto"/>
              <w:jc w:val="center"/>
              <w:rPr>
                <w:b/>
                <w:sz w:val="28"/>
                <w:szCs w:val="28"/>
              </w:rPr>
            </w:pPr>
            <w:r w:rsidRPr="00006DD9">
              <w:rPr>
                <w:b/>
                <w:sz w:val="28"/>
                <w:szCs w:val="28"/>
              </w:rPr>
              <w:t>1</w:t>
            </w:r>
            <w:r w:rsidR="00471E14" w:rsidRPr="00006DD9">
              <w:rPr>
                <w:b/>
                <w:sz w:val="28"/>
                <w:szCs w:val="28"/>
              </w:rPr>
              <w:t>6</w:t>
            </w:r>
            <w:r w:rsidR="00EC35B2" w:rsidRPr="00006DD9">
              <w:rPr>
                <w:b/>
                <w:sz w:val="28"/>
                <w:szCs w:val="28"/>
              </w:rPr>
              <w:t>9</w:t>
            </w:r>
          </w:p>
        </w:tc>
        <w:tc>
          <w:tcPr>
            <w:tcW w:w="2410" w:type="dxa"/>
            <w:shd w:val="clear" w:color="auto" w:fill="EEECE1" w:themeFill="background2"/>
            <w:vAlign w:val="center"/>
          </w:tcPr>
          <w:p w:rsidR="008E61D1" w:rsidRPr="00006DD9" w:rsidRDefault="00112AA7" w:rsidP="00577425">
            <w:pPr>
              <w:widowControl w:val="0"/>
              <w:spacing w:after="0" w:line="240" w:lineRule="auto"/>
              <w:jc w:val="center"/>
              <w:rPr>
                <w:b/>
                <w:sz w:val="28"/>
                <w:szCs w:val="28"/>
              </w:rPr>
            </w:pPr>
            <w:r w:rsidRPr="00006DD9">
              <w:rPr>
                <w:b/>
                <w:sz w:val="28"/>
                <w:szCs w:val="28"/>
              </w:rPr>
              <w:t>1</w:t>
            </w:r>
            <w:r w:rsidR="00577425" w:rsidRPr="00006DD9">
              <w:rPr>
                <w:b/>
                <w:sz w:val="28"/>
                <w:szCs w:val="28"/>
              </w:rPr>
              <w:t> 338 386 641,48</w:t>
            </w:r>
          </w:p>
        </w:tc>
      </w:tr>
    </w:tbl>
    <w:p w:rsidR="00E4498F" w:rsidRDefault="00E4498F" w:rsidP="00E4498F">
      <w:pPr>
        <w:spacing w:after="0" w:line="240" w:lineRule="auto"/>
        <w:rPr>
          <w:rFonts w:eastAsia="Times New Roman" w:cs="Times New Roman"/>
          <w:b/>
          <w:sz w:val="28"/>
          <w:szCs w:val="28"/>
          <w:lang w:eastAsia="ru-RU"/>
        </w:rPr>
      </w:pPr>
    </w:p>
    <w:p w:rsidR="00E4498F" w:rsidRDefault="00E4498F" w:rsidP="00E4498F">
      <w:pPr>
        <w:spacing w:after="0" w:line="240" w:lineRule="auto"/>
        <w:rPr>
          <w:rFonts w:eastAsia="Times New Roman" w:cs="Times New Roman"/>
          <w:b/>
          <w:sz w:val="28"/>
          <w:szCs w:val="28"/>
          <w:lang w:eastAsia="ru-RU"/>
        </w:rPr>
      </w:pPr>
    </w:p>
    <w:p w:rsidR="00E4498F" w:rsidRDefault="00E4498F" w:rsidP="00E4498F">
      <w:pPr>
        <w:spacing w:after="0" w:line="240" w:lineRule="auto"/>
        <w:rPr>
          <w:rFonts w:eastAsia="Times New Roman" w:cs="Times New Roman"/>
          <w:b/>
          <w:sz w:val="28"/>
          <w:szCs w:val="28"/>
          <w:lang w:eastAsia="ru-RU"/>
        </w:rPr>
      </w:pPr>
    </w:p>
    <w:p w:rsidR="00E4498F" w:rsidRDefault="00E4498F" w:rsidP="0050610E">
      <w:pPr>
        <w:spacing w:after="0" w:line="240" w:lineRule="auto"/>
        <w:ind w:firstLine="709"/>
        <w:jc w:val="both"/>
        <w:rPr>
          <w:rFonts w:eastAsia="Times New Roman" w:cs="Times New Roman"/>
          <w:sz w:val="28"/>
          <w:szCs w:val="28"/>
          <w:lang w:eastAsia="ru-RU"/>
        </w:rPr>
      </w:pPr>
      <w:r w:rsidRPr="00E4498F">
        <w:rPr>
          <w:rFonts w:eastAsia="Times New Roman" w:cs="Times New Roman"/>
          <w:sz w:val="28"/>
          <w:szCs w:val="28"/>
          <w:lang w:eastAsia="ru-RU"/>
        </w:rPr>
        <w:t xml:space="preserve">Всего </w:t>
      </w:r>
      <w:r>
        <w:rPr>
          <w:rFonts w:eastAsia="Times New Roman" w:cs="Times New Roman"/>
          <w:sz w:val="28"/>
          <w:szCs w:val="28"/>
          <w:lang w:eastAsia="ru-RU"/>
        </w:rPr>
        <w:t>размещено</w:t>
      </w:r>
      <w:r w:rsidR="00EB2197">
        <w:rPr>
          <w:rFonts w:eastAsia="Times New Roman" w:cs="Times New Roman"/>
          <w:sz w:val="28"/>
          <w:szCs w:val="28"/>
          <w:lang w:eastAsia="ru-RU"/>
        </w:rPr>
        <w:t xml:space="preserve"> 169</w:t>
      </w:r>
      <w:r>
        <w:rPr>
          <w:rFonts w:eastAsia="Times New Roman" w:cs="Times New Roman"/>
          <w:sz w:val="28"/>
          <w:szCs w:val="28"/>
          <w:lang w:eastAsia="ru-RU"/>
        </w:rPr>
        <w:t xml:space="preserve"> извещений </w:t>
      </w:r>
      <w:r w:rsidRPr="00E4498F">
        <w:rPr>
          <w:rFonts w:eastAsia="Times New Roman" w:cs="Times New Roman"/>
          <w:sz w:val="28"/>
          <w:szCs w:val="28"/>
          <w:lang w:eastAsia="ru-RU"/>
        </w:rPr>
        <w:t xml:space="preserve">муниципальных заказчиков и заказчиков </w:t>
      </w:r>
      <w:r>
        <w:rPr>
          <w:rFonts w:eastAsia="Times New Roman" w:cs="Times New Roman"/>
          <w:sz w:val="28"/>
          <w:szCs w:val="28"/>
          <w:lang w:eastAsia="ru-RU"/>
        </w:rPr>
        <w:t>городского округа</w:t>
      </w:r>
      <w:r w:rsidR="00EB2197">
        <w:rPr>
          <w:rFonts w:eastAsia="Times New Roman" w:cs="Times New Roman"/>
          <w:sz w:val="28"/>
          <w:szCs w:val="28"/>
          <w:lang w:eastAsia="ru-RU"/>
        </w:rPr>
        <w:t xml:space="preserve"> Верхняя Пышма </w:t>
      </w:r>
      <w:r>
        <w:rPr>
          <w:rFonts w:eastAsia="Times New Roman" w:cs="Times New Roman"/>
          <w:sz w:val="28"/>
          <w:szCs w:val="28"/>
          <w:lang w:eastAsia="ru-RU"/>
        </w:rPr>
        <w:t xml:space="preserve"> </w:t>
      </w:r>
      <w:r w:rsidR="00EB2197">
        <w:rPr>
          <w:rFonts w:eastAsia="Times New Roman" w:cs="Times New Roman"/>
          <w:sz w:val="28"/>
          <w:szCs w:val="28"/>
          <w:lang w:eastAsia="ru-RU"/>
        </w:rPr>
        <w:t xml:space="preserve">за </w:t>
      </w:r>
      <w:r w:rsidR="00C776AE">
        <w:rPr>
          <w:rFonts w:eastAsia="Times New Roman" w:cs="Times New Roman"/>
          <w:sz w:val="28"/>
          <w:szCs w:val="28"/>
          <w:lang w:eastAsia="ru-RU"/>
        </w:rPr>
        <w:t xml:space="preserve">2 квартал </w:t>
      </w:r>
      <w:r w:rsidR="00EB2197">
        <w:rPr>
          <w:rFonts w:eastAsia="Times New Roman" w:cs="Times New Roman"/>
          <w:sz w:val="28"/>
          <w:szCs w:val="28"/>
          <w:lang w:eastAsia="ru-RU"/>
        </w:rPr>
        <w:t>2024 года на сумму 1 338 386 641, 48 рублей</w:t>
      </w:r>
      <w:r>
        <w:rPr>
          <w:rFonts w:eastAsia="Times New Roman" w:cs="Times New Roman"/>
          <w:sz w:val="28"/>
          <w:szCs w:val="28"/>
          <w:lang w:eastAsia="ru-RU"/>
        </w:rPr>
        <w:t>:</w:t>
      </w:r>
    </w:p>
    <w:p w:rsidR="00E4498F" w:rsidRDefault="00EB2197" w:rsidP="0050610E">
      <w:pPr>
        <w:pStyle w:val="ab"/>
        <w:numPr>
          <w:ilvl w:val="0"/>
          <w:numId w:val="7"/>
        </w:numPr>
        <w:spacing w:after="0" w:line="240" w:lineRule="auto"/>
        <w:ind w:left="714" w:hanging="357"/>
        <w:rPr>
          <w:rFonts w:eastAsia="Times New Roman" w:cs="Times New Roman"/>
          <w:sz w:val="28"/>
          <w:szCs w:val="28"/>
        </w:rPr>
      </w:pPr>
      <w:r>
        <w:rPr>
          <w:rFonts w:eastAsia="Times New Roman" w:cs="Times New Roman"/>
          <w:sz w:val="28"/>
          <w:szCs w:val="28"/>
        </w:rPr>
        <w:t>7 о</w:t>
      </w:r>
      <w:r w:rsidR="00E4498F">
        <w:rPr>
          <w:rFonts w:eastAsia="Times New Roman" w:cs="Times New Roman"/>
          <w:sz w:val="28"/>
          <w:szCs w:val="28"/>
        </w:rPr>
        <w:t>р</w:t>
      </w:r>
      <w:r>
        <w:rPr>
          <w:rFonts w:eastAsia="Times New Roman" w:cs="Times New Roman"/>
          <w:sz w:val="28"/>
          <w:szCs w:val="28"/>
        </w:rPr>
        <w:t>ганов</w:t>
      </w:r>
      <w:r w:rsidR="00E4498F">
        <w:rPr>
          <w:rFonts w:eastAsia="Times New Roman" w:cs="Times New Roman"/>
          <w:sz w:val="28"/>
          <w:szCs w:val="28"/>
        </w:rPr>
        <w:t xml:space="preserve"> местного самоуправления</w:t>
      </w:r>
      <w:r>
        <w:rPr>
          <w:rFonts w:eastAsia="Times New Roman" w:cs="Times New Roman"/>
          <w:sz w:val="28"/>
          <w:szCs w:val="28"/>
        </w:rPr>
        <w:t xml:space="preserve">  </w:t>
      </w:r>
      <w:r w:rsidR="00E4498F">
        <w:rPr>
          <w:rFonts w:eastAsia="Times New Roman" w:cs="Times New Roman"/>
          <w:sz w:val="28"/>
          <w:szCs w:val="28"/>
        </w:rPr>
        <w:t xml:space="preserve"> </w:t>
      </w:r>
      <w:r w:rsidR="00E2789E">
        <w:rPr>
          <w:rFonts w:eastAsia="Times New Roman" w:cs="Times New Roman"/>
          <w:sz w:val="28"/>
          <w:szCs w:val="28"/>
        </w:rPr>
        <w:t>–</w:t>
      </w:r>
      <w:r w:rsidR="00E4498F">
        <w:rPr>
          <w:rFonts w:eastAsia="Times New Roman" w:cs="Times New Roman"/>
          <w:sz w:val="28"/>
          <w:szCs w:val="28"/>
        </w:rPr>
        <w:t xml:space="preserve"> </w:t>
      </w:r>
      <w:r>
        <w:rPr>
          <w:rFonts w:eastAsia="Times New Roman" w:cs="Times New Roman"/>
          <w:sz w:val="28"/>
          <w:szCs w:val="28"/>
        </w:rPr>
        <w:t>28 извещений</w:t>
      </w:r>
      <w:r w:rsidR="002346CD">
        <w:rPr>
          <w:rFonts w:eastAsia="Times New Roman" w:cs="Times New Roman"/>
          <w:sz w:val="28"/>
          <w:szCs w:val="28"/>
        </w:rPr>
        <w:t xml:space="preserve"> на сумму 103 767 </w:t>
      </w:r>
      <w:r w:rsidR="00136188">
        <w:rPr>
          <w:rFonts w:eastAsia="Times New Roman" w:cs="Times New Roman"/>
          <w:sz w:val="28"/>
          <w:szCs w:val="28"/>
        </w:rPr>
        <w:t>6</w:t>
      </w:r>
      <w:r w:rsidR="002346CD">
        <w:rPr>
          <w:rFonts w:eastAsia="Times New Roman" w:cs="Times New Roman"/>
          <w:sz w:val="28"/>
          <w:szCs w:val="28"/>
        </w:rPr>
        <w:t>72, 37 руб.</w:t>
      </w:r>
    </w:p>
    <w:p w:rsidR="00E2789E" w:rsidRDefault="00EB2197" w:rsidP="0050610E">
      <w:pPr>
        <w:pStyle w:val="ab"/>
        <w:numPr>
          <w:ilvl w:val="0"/>
          <w:numId w:val="7"/>
        </w:numPr>
        <w:spacing w:after="0" w:line="240" w:lineRule="auto"/>
        <w:ind w:left="714" w:hanging="357"/>
        <w:rPr>
          <w:rFonts w:eastAsia="Times New Roman" w:cs="Times New Roman"/>
          <w:sz w:val="28"/>
          <w:szCs w:val="28"/>
        </w:rPr>
      </w:pPr>
      <w:r>
        <w:rPr>
          <w:rFonts w:eastAsia="Times New Roman" w:cs="Times New Roman"/>
          <w:sz w:val="28"/>
          <w:szCs w:val="28"/>
        </w:rPr>
        <w:t>6 казенных учреждений</w:t>
      </w:r>
      <w:r w:rsidR="00E2789E">
        <w:rPr>
          <w:rFonts w:eastAsia="Times New Roman" w:cs="Times New Roman"/>
          <w:sz w:val="28"/>
          <w:szCs w:val="28"/>
        </w:rPr>
        <w:t xml:space="preserve"> – </w:t>
      </w:r>
      <w:r>
        <w:rPr>
          <w:rFonts w:eastAsia="Times New Roman" w:cs="Times New Roman"/>
          <w:sz w:val="28"/>
          <w:szCs w:val="28"/>
        </w:rPr>
        <w:t>106 извещений</w:t>
      </w:r>
      <w:r w:rsidR="005C58A0">
        <w:rPr>
          <w:rFonts w:eastAsia="Times New Roman" w:cs="Times New Roman"/>
          <w:sz w:val="28"/>
          <w:szCs w:val="28"/>
        </w:rPr>
        <w:t xml:space="preserve"> на сумму 1 076 747 959,26 руб.</w:t>
      </w:r>
    </w:p>
    <w:p w:rsidR="00E2789E" w:rsidRDefault="00EB2197" w:rsidP="0050610E">
      <w:pPr>
        <w:pStyle w:val="ab"/>
        <w:numPr>
          <w:ilvl w:val="0"/>
          <w:numId w:val="7"/>
        </w:numPr>
        <w:spacing w:after="0" w:line="240" w:lineRule="auto"/>
        <w:rPr>
          <w:rFonts w:eastAsia="Times New Roman" w:cs="Times New Roman"/>
          <w:sz w:val="28"/>
          <w:szCs w:val="28"/>
        </w:rPr>
      </w:pPr>
      <w:r>
        <w:rPr>
          <w:rFonts w:eastAsia="Times New Roman" w:cs="Times New Roman"/>
          <w:sz w:val="28"/>
          <w:szCs w:val="28"/>
        </w:rPr>
        <w:t xml:space="preserve">7 бюджетных учреждений </w:t>
      </w:r>
      <w:r w:rsidR="00556DA7">
        <w:rPr>
          <w:rFonts w:eastAsia="Times New Roman" w:cs="Times New Roman"/>
          <w:sz w:val="28"/>
          <w:szCs w:val="28"/>
        </w:rPr>
        <w:t>–</w:t>
      </w:r>
      <w:r w:rsidR="00E2789E">
        <w:rPr>
          <w:rFonts w:eastAsia="Times New Roman" w:cs="Times New Roman"/>
          <w:sz w:val="28"/>
          <w:szCs w:val="28"/>
        </w:rPr>
        <w:t xml:space="preserve"> </w:t>
      </w:r>
      <w:r w:rsidR="009570C9">
        <w:rPr>
          <w:rFonts w:eastAsia="Times New Roman" w:cs="Times New Roman"/>
          <w:sz w:val="28"/>
          <w:szCs w:val="28"/>
        </w:rPr>
        <w:t>26 извещений</w:t>
      </w:r>
      <w:r w:rsidR="00A57DB1">
        <w:rPr>
          <w:rFonts w:eastAsia="Times New Roman" w:cs="Times New Roman"/>
          <w:sz w:val="28"/>
          <w:szCs w:val="28"/>
        </w:rPr>
        <w:t xml:space="preserve"> на сумму 26 694 708, 41 руб.</w:t>
      </w:r>
    </w:p>
    <w:p w:rsidR="00556DA7" w:rsidRDefault="00EB2197" w:rsidP="0050610E">
      <w:pPr>
        <w:pStyle w:val="ab"/>
        <w:numPr>
          <w:ilvl w:val="0"/>
          <w:numId w:val="7"/>
        </w:numPr>
        <w:spacing w:after="0" w:line="240" w:lineRule="auto"/>
        <w:rPr>
          <w:rFonts w:eastAsia="Times New Roman" w:cs="Times New Roman"/>
          <w:sz w:val="28"/>
          <w:szCs w:val="28"/>
        </w:rPr>
      </w:pPr>
      <w:r>
        <w:rPr>
          <w:rFonts w:eastAsia="Times New Roman" w:cs="Times New Roman"/>
          <w:sz w:val="28"/>
          <w:szCs w:val="28"/>
        </w:rPr>
        <w:t>3 автономных</w:t>
      </w:r>
      <w:r w:rsidR="0059020D">
        <w:rPr>
          <w:rFonts w:eastAsia="Times New Roman" w:cs="Times New Roman"/>
          <w:sz w:val="28"/>
          <w:szCs w:val="28"/>
        </w:rPr>
        <w:t xml:space="preserve"> учреждения </w:t>
      </w:r>
      <w:r w:rsidR="009570C9">
        <w:rPr>
          <w:rFonts w:eastAsia="Times New Roman" w:cs="Times New Roman"/>
          <w:sz w:val="28"/>
          <w:szCs w:val="28"/>
        </w:rPr>
        <w:t>–</w:t>
      </w:r>
      <w:r w:rsidR="0059020D">
        <w:rPr>
          <w:rFonts w:eastAsia="Times New Roman" w:cs="Times New Roman"/>
          <w:sz w:val="28"/>
          <w:szCs w:val="28"/>
        </w:rPr>
        <w:t xml:space="preserve"> </w:t>
      </w:r>
      <w:r w:rsidR="009570C9">
        <w:rPr>
          <w:rFonts w:eastAsia="Times New Roman" w:cs="Times New Roman"/>
          <w:sz w:val="28"/>
          <w:szCs w:val="28"/>
        </w:rPr>
        <w:t>3 извещения на сумму 131 176 301,44 руб.</w:t>
      </w:r>
    </w:p>
    <w:p w:rsidR="00B04954" w:rsidRPr="00B04954" w:rsidRDefault="00B04954" w:rsidP="0050610E">
      <w:pPr>
        <w:spacing w:after="0" w:line="240" w:lineRule="auto"/>
        <w:rPr>
          <w:rFonts w:eastAsia="Times New Roman" w:cs="Times New Roman"/>
          <w:sz w:val="28"/>
          <w:szCs w:val="28"/>
        </w:rPr>
      </w:pPr>
    </w:p>
    <w:p w:rsidR="00064474" w:rsidRDefault="00064474" w:rsidP="0050610E">
      <w:pPr>
        <w:spacing w:after="0" w:line="240" w:lineRule="auto"/>
        <w:rPr>
          <w:rFonts w:eastAsia="Times New Roman" w:cs="Times New Roman"/>
          <w:b/>
          <w:sz w:val="28"/>
          <w:szCs w:val="28"/>
          <w:lang w:eastAsia="ru-RU"/>
        </w:rPr>
      </w:pPr>
    </w:p>
    <w:p w:rsidR="00A51405" w:rsidRDefault="00A51405" w:rsidP="00C7336F">
      <w:pPr>
        <w:spacing w:after="0" w:line="240" w:lineRule="auto"/>
        <w:ind w:firstLine="709"/>
        <w:jc w:val="both"/>
        <w:rPr>
          <w:rFonts w:eastAsia="Times New Roman" w:cs="Times New Roman"/>
          <w:sz w:val="28"/>
          <w:szCs w:val="28"/>
          <w:lang w:eastAsia="ru-RU"/>
        </w:rPr>
      </w:pPr>
      <w:r w:rsidRPr="00A51405">
        <w:rPr>
          <w:rFonts w:eastAsia="Times New Roman" w:cs="Times New Roman"/>
          <w:sz w:val="28"/>
          <w:szCs w:val="28"/>
          <w:lang w:eastAsia="ru-RU"/>
        </w:rPr>
        <w:t>Максимальная сумма НМЦК по размещенным извещениям составила 260 333 330 руб.</w:t>
      </w:r>
      <w:r w:rsidR="00C7336F">
        <w:rPr>
          <w:rFonts w:eastAsia="Times New Roman" w:cs="Times New Roman"/>
          <w:sz w:val="28"/>
          <w:szCs w:val="28"/>
          <w:lang w:eastAsia="ru-RU"/>
        </w:rPr>
        <w:t xml:space="preserve"> (реконструкция автомобильной дороги)</w:t>
      </w:r>
      <w:r w:rsidRPr="00A51405">
        <w:rPr>
          <w:rFonts w:eastAsia="Times New Roman" w:cs="Times New Roman"/>
          <w:sz w:val="28"/>
          <w:szCs w:val="28"/>
          <w:lang w:eastAsia="ru-RU"/>
        </w:rPr>
        <w:t>, минимальная – 11 434,5 руб.</w:t>
      </w:r>
      <w:r w:rsidR="00C7336F">
        <w:rPr>
          <w:rFonts w:eastAsia="Times New Roman" w:cs="Times New Roman"/>
          <w:sz w:val="28"/>
          <w:szCs w:val="28"/>
          <w:lang w:eastAsia="ru-RU"/>
        </w:rPr>
        <w:t xml:space="preserve"> (поставка сапог для пожарных).</w:t>
      </w:r>
    </w:p>
    <w:p w:rsidR="00CC26A5" w:rsidRPr="00A51405" w:rsidRDefault="00CC26A5" w:rsidP="00C7336F">
      <w:pPr>
        <w:spacing w:after="0" w:line="240" w:lineRule="auto"/>
        <w:ind w:firstLine="709"/>
        <w:jc w:val="both"/>
        <w:rPr>
          <w:rFonts w:eastAsia="Times New Roman" w:cs="Times New Roman"/>
          <w:sz w:val="28"/>
          <w:szCs w:val="28"/>
          <w:lang w:eastAsia="ru-RU"/>
        </w:rPr>
      </w:pPr>
    </w:p>
    <w:p w:rsidR="00CC26A5" w:rsidRDefault="001C30FC" w:rsidP="00C7336F">
      <w:pPr>
        <w:spacing w:after="0" w:line="240" w:lineRule="auto"/>
        <w:ind w:firstLine="709"/>
        <w:jc w:val="both"/>
        <w:rPr>
          <w:rFonts w:eastAsia="Times New Roman" w:cs="Times New Roman"/>
          <w:sz w:val="28"/>
          <w:szCs w:val="28"/>
          <w:lang w:eastAsia="ru-RU"/>
        </w:rPr>
      </w:pPr>
      <w:r w:rsidRPr="001C30FC">
        <w:rPr>
          <w:rFonts w:eastAsia="Times New Roman" w:cs="Times New Roman"/>
          <w:sz w:val="28"/>
          <w:szCs w:val="28"/>
          <w:lang w:eastAsia="ru-RU"/>
        </w:rPr>
        <w:t xml:space="preserve">Всего за </w:t>
      </w:r>
      <w:r w:rsidR="00C776AE">
        <w:rPr>
          <w:rFonts w:eastAsia="Times New Roman" w:cs="Times New Roman"/>
          <w:sz w:val="28"/>
          <w:szCs w:val="28"/>
          <w:lang w:eastAsia="ru-RU"/>
        </w:rPr>
        <w:t>2 квартал</w:t>
      </w:r>
      <w:r w:rsidR="001602FA">
        <w:rPr>
          <w:rFonts w:eastAsia="Times New Roman" w:cs="Times New Roman"/>
          <w:sz w:val="28"/>
          <w:szCs w:val="28"/>
          <w:lang w:eastAsia="ru-RU"/>
        </w:rPr>
        <w:t xml:space="preserve"> 2024 года</w:t>
      </w:r>
      <w:r w:rsidRPr="001C30FC">
        <w:rPr>
          <w:rFonts w:eastAsia="Times New Roman" w:cs="Times New Roman"/>
          <w:sz w:val="28"/>
          <w:szCs w:val="28"/>
          <w:lang w:eastAsia="ru-RU"/>
        </w:rPr>
        <w:t xml:space="preserve"> поступило 23 Запроса на разъяснения документации по извещениям, на каждый Запрос своевременно дан ответ. </w:t>
      </w:r>
    </w:p>
    <w:p w:rsidR="00064474" w:rsidRPr="001C30FC" w:rsidRDefault="001C30FC" w:rsidP="00C7336F">
      <w:pPr>
        <w:spacing w:after="0" w:line="240" w:lineRule="auto"/>
        <w:ind w:firstLine="709"/>
        <w:jc w:val="both"/>
        <w:rPr>
          <w:rFonts w:eastAsia="Times New Roman" w:cs="Times New Roman"/>
          <w:sz w:val="28"/>
          <w:szCs w:val="28"/>
          <w:lang w:eastAsia="ru-RU"/>
        </w:rPr>
      </w:pPr>
      <w:r w:rsidRPr="001C30FC">
        <w:rPr>
          <w:rFonts w:eastAsia="Times New Roman" w:cs="Times New Roman"/>
          <w:sz w:val="28"/>
          <w:szCs w:val="28"/>
          <w:lang w:eastAsia="ru-RU"/>
        </w:rPr>
        <w:t xml:space="preserve"> </w:t>
      </w:r>
    </w:p>
    <w:p w:rsidR="00064474" w:rsidRPr="0050610E" w:rsidRDefault="0050610E" w:rsidP="00C7336F">
      <w:pPr>
        <w:spacing w:after="0" w:line="240" w:lineRule="auto"/>
        <w:ind w:firstLine="709"/>
        <w:jc w:val="both"/>
        <w:rPr>
          <w:rFonts w:eastAsia="Times New Roman" w:cs="Times New Roman"/>
          <w:sz w:val="28"/>
          <w:szCs w:val="28"/>
          <w:lang w:eastAsia="ru-RU"/>
        </w:rPr>
      </w:pPr>
      <w:r w:rsidRPr="0050610E">
        <w:rPr>
          <w:rFonts w:eastAsia="Times New Roman" w:cs="Times New Roman"/>
          <w:sz w:val="28"/>
          <w:szCs w:val="28"/>
          <w:lang w:eastAsia="ru-RU"/>
        </w:rPr>
        <w:t xml:space="preserve"> Извещения опубликованы</w:t>
      </w:r>
      <w:r>
        <w:rPr>
          <w:rFonts w:eastAsia="Times New Roman" w:cs="Times New Roman"/>
          <w:sz w:val="28"/>
          <w:szCs w:val="28"/>
          <w:lang w:eastAsia="ru-RU"/>
        </w:rPr>
        <w:t xml:space="preserve"> на электронных площадках РТС-тендер и РОСЭЛТОРГ (АО «ЕЭТП»).</w:t>
      </w:r>
    </w:p>
    <w:p w:rsidR="00064474" w:rsidRPr="0050610E" w:rsidRDefault="00064474" w:rsidP="00C7336F">
      <w:pPr>
        <w:spacing w:after="0" w:line="240" w:lineRule="auto"/>
        <w:ind w:firstLine="709"/>
        <w:jc w:val="both"/>
        <w:rPr>
          <w:rFonts w:eastAsia="Times New Roman" w:cs="Times New Roman"/>
          <w:sz w:val="28"/>
          <w:szCs w:val="28"/>
          <w:lang w:eastAsia="ru-RU"/>
        </w:rPr>
      </w:pPr>
    </w:p>
    <w:p w:rsidR="00064474" w:rsidRDefault="00064474" w:rsidP="0050610E">
      <w:pPr>
        <w:spacing w:after="0" w:line="240" w:lineRule="auto"/>
        <w:rPr>
          <w:rFonts w:eastAsia="Times New Roman" w:cs="Times New Roman"/>
          <w:b/>
          <w:sz w:val="28"/>
          <w:szCs w:val="28"/>
          <w:lang w:eastAsia="ru-RU"/>
        </w:rPr>
      </w:pPr>
    </w:p>
    <w:p w:rsidR="00064474" w:rsidRDefault="00064474" w:rsidP="00E4498F">
      <w:pPr>
        <w:spacing w:after="0" w:line="240" w:lineRule="auto"/>
        <w:rPr>
          <w:rFonts w:eastAsia="Times New Roman" w:cs="Times New Roman"/>
          <w:b/>
          <w:sz w:val="28"/>
          <w:szCs w:val="28"/>
          <w:lang w:eastAsia="ru-RU"/>
        </w:rPr>
      </w:pPr>
    </w:p>
    <w:p w:rsidR="00064474" w:rsidRDefault="00064474" w:rsidP="00E4498F">
      <w:pPr>
        <w:spacing w:after="0" w:line="240" w:lineRule="auto"/>
        <w:rPr>
          <w:rFonts w:eastAsia="Times New Roman" w:cs="Times New Roman"/>
          <w:b/>
          <w:sz w:val="28"/>
          <w:szCs w:val="28"/>
          <w:lang w:eastAsia="ru-RU"/>
        </w:rPr>
      </w:pPr>
    </w:p>
    <w:p w:rsidR="00064474" w:rsidRDefault="00064474" w:rsidP="00E4498F">
      <w:pPr>
        <w:spacing w:after="0" w:line="240" w:lineRule="auto"/>
        <w:rPr>
          <w:rFonts w:eastAsia="Times New Roman" w:cs="Times New Roman"/>
          <w:b/>
          <w:sz w:val="28"/>
          <w:szCs w:val="28"/>
          <w:lang w:eastAsia="ru-RU"/>
        </w:rPr>
      </w:pPr>
    </w:p>
    <w:p w:rsidR="00064474" w:rsidRDefault="00064474" w:rsidP="00E4498F">
      <w:pPr>
        <w:spacing w:after="0" w:line="240" w:lineRule="auto"/>
        <w:rPr>
          <w:rFonts w:eastAsia="Times New Roman" w:cs="Times New Roman"/>
          <w:b/>
          <w:sz w:val="28"/>
          <w:szCs w:val="28"/>
          <w:lang w:eastAsia="ru-RU"/>
        </w:rPr>
      </w:pPr>
    </w:p>
    <w:p w:rsidR="00064474" w:rsidRDefault="00064474" w:rsidP="00E4498F">
      <w:pPr>
        <w:spacing w:after="0" w:line="240" w:lineRule="auto"/>
        <w:rPr>
          <w:rFonts w:eastAsia="Times New Roman" w:cs="Times New Roman"/>
          <w:b/>
          <w:sz w:val="28"/>
          <w:szCs w:val="28"/>
          <w:lang w:eastAsia="ru-RU"/>
        </w:rPr>
      </w:pPr>
    </w:p>
    <w:p w:rsidR="00CC26A5" w:rsidRDefault="00CC26A5" w:rsidP="00064474">
      <w:pPr>
        <w:spacing w:after="0" w:line="240" w:lineRule="auto"/>
        <w:jc w:val="right"/>
        <w:rPr>
          <w:rFonts w:eastAsia="Times New Roman" w:cs="Times New Roman"/>
          <w:b/>
          <w:sz w:val="28"/>
          <w:szCs w:val="28"/>
          <w:lang w:eastAsia="ru-RU"/>
        </w:rPr>
      </w:pPr>
    </w:p>
    <w:p w:rsidR="004E7DAA" w:rsidRDefault="00C14710" w:rsidP="00064474">
      <w:pPr>
        <w:spacing w:after="0" w:line="240" w:lineRule="auto"/>
        <w:jc w:val="right"/>
        <w:rPr>
          <w:rFonts w:eastAsia="Times New Roman" w:cs="Times New Roman"/>
          <w:b/>
          <w:sz w:val="28"/>
          <w:szCs w:val="28"/>
          <w:lang w:eastAsia="ru-RU"/>
        </w:rPr>
      </w:pPr>
      <w:r w:rsidRPr="00157133">
        <w:rPr>
          <w:rFonts w:eastAsia="Times New Roman" w:cs="Times New Roman"/>
          <w:b/>
          <w:sz w:val="28"/>
          <w:szCs w:val="28"/>
          <w:lang w:eastAsia="ru-RU"/>
        </w:rPr>
        <w:lastRenderedPageBreak/>
        <w:t>Диаграмма</w:t>
      </w:r>
      <w:r w:rsidR="005D76B3">
        <w:rPr>
          <w:rFonts w:eastAsia="Times New Roman" w:cs="Times New Roman"/>
          <w:b/>
          <w:sz w:val="28"/>
          <w:szCs w:val="28"/>
          <w:lang w:eastAsia="ru-RU"/>
        </w:rPr>
        <w:t xml:space="preserve"> №</w:t>
      </w:r>
      <w:r w:rsidRPr="00157133">
        <w:rPr>
          <w:rFonts w:eastAsia="Times New Roman" w:cs="Times New Roman"/>
          <w:b/>
          <w:sz w:val="28"/>
          <w:szCs w:val="28"/>
          <w:lang w:eastAsia="ru-RU"/>
        </w:rPr>
        <w:t>1</w:t>
      </w:r>
    </w:p>
    <w:p w:rsidR="008C11B2" w:rsidRDefault="008C11B2" w:rsidP="00064474">
      <w:pPr>
        <w:spacing w:after="0" w:line="240" w:lineRule="auto"/>
        <w:jc w:val="right"/>
        <w:rPr>
          <w:rFonts w:eastAsia="Times New Roman" w:cs="Times New Roman"/>
          <w:b/>
          <w:sz w:val="28"/>
          <w:szCs w:val="28"/>
          <w:lang w:eastAsia="ru-RU"/>
        </w:rPr>
      </w:pPr>
    </w:p>
    <w:p w:rsidR="00A91A1B" w:rsidRDefault="00CA063B" w:rsidP="008C11B2">
      <w:pPr>
        <w:spacing w:after="0" w:line="240" w:lineRule="auto"/>
        <w:ind w:left="720"/>
        <w:jc w:val="right"/>
        <w:rPr>
          <w:rFonts w:eastAsia="Times New Roman" w:cs="Times New Roman"/>
          <w:sz w:val="28"/>
          <w:szCs w:val="28"/>
          <w:lang w:eastAsia="ru-RU"/>
        </w:rPr>
      </w:pPr>
      <w:r>
        <w:rPr>
          <w:rFonts w:eastAsia="Times New Roman" w:cs="Times New Roman"/>
          <w:sz w:val="28"/>
          <w:szCs w:val="28"/>
          <w:lang w:eastAsia="ru-RU"/>
        </w:rPr>
        <w:t>Количество опубликованных процедур в разрезе</w:t>
      </w:r>
      <w:r w:rsidR="00BE0ED9">
        <w:rPr>
          <w:rFonts w:eastAsia="Times New Roman" w:cs="Times New Roman"/>
          <w:sz w:val="28"/>
          <w:szCs w:val="28"/>
          <w:lang w:eastAsia="ru-RU"/>
        </w:rPr>
        <w:t xml:space="preserve"> муниципальных</w:t>
      </w:r>
      <w:r>
        <w:rPr>
          <w:rFonts w:eastAsia="Times New Roman" w:cs="Times New Roman"/>
          <w:sz w:val="28"/>
          <w:szCs w:val="28"/>
          <w:lang w:eastAsia="ru-RU"/>
        </w:rPr>
        <w:t xml:space="preserve"> заказчиков, шт.</w:t>
      </w:r>
    </w:p>
    <w:p w:rsidR="00310811" w:rsidRDefault="007275C1" w:rsidP="0050610E">
      <w:pPr>
        <w:spacing w:after="0" w:line="240" w:lineRule="auto"/>
        <w:ind w:left="720"/>
        <w:jc w:val="right"/>
        <w:rPr>
          <w:rFonts w:eastAsia="Times New Roman" w:cs="Times New Roman"/>
          <w:b/>
          <w:sz w:val="28"/>
          <w:szCs w:val="28"/>
          <w:lang w:eastAsia="ru-RU"/>
        </w:rPr>
      </w:pPr>
      <w:r w:rsidRPr="00802CBD">
        <w:rPr>
          <w:noProof/>
          <w:highlight w:val="lightGray"/>
          <w:lang w:eastAsia="ru-RU"/>
        </w:rPr>
        <w:drawing>
          <wp:inline distT="0" distB="0" distL="0" distR="0" wp14:anchorId="17648A97" wp14:editId="072586BF">
            <wp:extent cx="6410325" cy="813435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49D2" w:rsidRDefault="000E49D2" w:rsidP="001E439F">
      <w:pPr>
        <w:spacing w:after="0" w:line="240" w:lineRule="auto"/>
        <w:jc w:val="right"/>
        <w:rPr>
          <w:rFonts w:eastAsia="Times New Roman" w:cs="Times New Roman"/>
          <w:b/>
          <w:sz w:val="28"/>
          <w:szCs w:val="28"/>
          <w:lang w:eastAsia="ru-RU"/>
        </w:rPr>
      </w:pPr>
    </w:p>
    <w:p w:rsidR="000E49D2" w:rsidRDefault="000E49D2" w:rsidP="001E439F">
      <w:pPr>
        <w:spacing w:after="0" w:line="240" w:lineRule="auto"/>
        <w:jc w:val="right"/>
        <w:rPr>
          <w:rFonts w:eastAsia="Times New Roman" w:cs="Times New Roman"/>
          <w:b/>
          <w:sz w:val="28"/>
          <w:szCs w:val="28"/>
          <w:lang w:eastAsia="ru-RU"/>
        </w:rPr>
      </w:pPr>
    </w:p>
    <w:p w:rsidR="004F25AF" w:rsidRPr="004F25AF" w:rsidRDefault="004F25AF" w:rsidP="001E439F">
      <w:pPr>
        <w:spacing w:after="0" w:line="240" w:lineRule="auto"/>
        <w:jc w:val="right"/>
        <w:rPr>
          <w:rFonts w:eastAsia="Times New Roman" w:cs="Times New Roman"/>
          <w:b/>
          <w:sz w:val="28"/>
          <w:szCs w:val="28"/>
          <w:lang w:eastAsia="ru-RU"/>
        </w:rPr>
      </w:pPr>
      <w:r w:rsidRPr="004F25AF">
        <w:rPr>
          <w:rFonts w:eastAsia="Times New Roman" w:cs="Times New Roman"/>
          <w:b/>
          <w:sz w:val="28"/>
          <w:szCs w:val="28"/>
          <w:lang w:eastAsia="ru-RU"/>
        </w:rPr>
        <w:lastRenderedPageBreak/>
        <w:t>Диаграмма №2</w:t>
      </w:r>
    </w:p>
    <w:p w:rsidR="004F25AF" w:rsidRPr="004F25AF" w:rsidRDefault="004F25AF" w:rsidP="004F25AF">
      <w:pPr>
        <w:spacing w:after="0" w:line="240" w:lineRule="auto"/>
        <w:jc w:val="right"/>
        <w:rPr>
          <w:rFonts w:eastAsia="Times New Roman" w:cs="Times New Roman"/>
          <w:b/>
          <w:sz w:val="28"/>
          <w:szCs w:val="28"/>
          <w:lang w:eastAsia="ru-RU"/>
        </w:rPr>
      </w:pPr>
    </w:p>
    <w:p w:rsidR="004F25AF" w:rsidRDefault="004F25AF" w:rsidP="004F25AF">
      <w:pPr>
        <w:spacing w:after="0" w:line="240" w:lineRule="auto"/>
        <w:jc w:val="right"/>
        <w:rPr>
          <w:rFonts w:eastAsia="Times New Roman" w:cs="Times New Roman"/>
          <w:sz w:val="28"/>
          <w:szCs w:val="28"/>
          <w:lang w:eastAsia="ru-RU"/>
        </w:rPr>
      </w:pPr>
      <w:r w:rsidRPr="004F25AF">
        <w:rPr>
          <w:rFonts w:eastAsia="Times New Roman" w:cs="Times New Roman"/>
          <w:sz w:val="28"/>
          <w:szCs w:val="28"/>
          <w:lang w:eastAsia="ru-RU"/>
        </w:rPr>
        <w:t>Сумма НМЦК опубликованных процедур в разрезе муниципальных заказчиков, млн. руб.</w:t>
      </w:r>
    </w:p>
    <w:p w:rsidR="00310811" w:rsidRPr="004F25AF" w:rsidRDefault="00310811" w:rsidP="00310811">
      <w:pPr>
        <w:spacing w:after="0" w:line="240" w:lineRule="auto"/>
        <w:jc w:val="center"/>
        <w:rPr>
          <w:rFonts w:eastAsia="Times New Roman" w:cs="Times New Roman"/>
          <w:sz w:val="28"/>
          <w:szCs w:val="28"/>
          <w:lang w:eastAsia="ru-RU"/>
        </w:rPr>
      </w:pPr>
      <w:r>
        <w:rPr>
          <w:noProof/>
          <w:lang w:eastAsia="ru-RU"/>
        </w:rPr>
        <w:drawing>
          <wp:inline distT="0" distB="0" distL="0" distR="0" wp14:anchorId="630DEC9A" wp14:editId="3CCD1589">
            <wp:extent cx="7200900" cy="862012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02C8" w:rsidRDefault="00A50BA6" w:rsidP="00A36944">
      <w:pPr>
        <w:spacing w:after="0" w:line="240" w:lineRule="auto"/>
        <w:jc w:val="center"/>
        <w:rPr>
          <w:rFonts w:eastAsia="Times New Roman" w:cs="Times New Roman"/>
          <w:b/>
          <w:sz w:val="28"/>
          <w:szCs w:val="28"/>
          <w:lang w:eastAsia="ru-RU"/>
        </w:rPr>
      </w:pPr>
      <w:r>
        <w:rPr>
          <w:rFonts w:eastAsia="Times New Roman" w:cs="Times New Roman"/>
          <w:b/>
          <w:sz w:val="28"/>
          <w:szCs w:val="28"/>
          <w:lang w:eastAsia="ru-RU"/>
        </w:rPr>
        <w:br w:type="page"/>
      </w:r>
      <w:r w:rsidR="004102C8" w:rsidRPr="004102C8">
        <w:rPr>
          <w:rFonts w:eastAsia="Times New Roman" w:cs="Times New Roman"/>
          <w:b/>
          <w:sz w:val="28"/>
          <w:szCs w:val="28"/>
          <w:lang w:eastAsia="ru-RU"/>
        </w:rPr>
        <w:lastRenderedPageBreak/>
        <w:t>2. СПОСОБЫ ЗАКУПОК</w:t>
      </w:r>
    </w:p>
    <w:p w:rsidR="007209D1" w:rsidRPr="0043542E" w:rsidRDefault="007209D1" w:rsidP="004102C8">
      <w:pPr>
        <w:spacing w:after="0" w:line="240" w:lineRule="auto"/>
        <w:ind w:left="720"/>
        <w:jc w:val="center"/>
        <w:rPr>
          <w:rFonts w:eastAsia="Times New Roman" w:cs="Times New Roman"/>
          <w:b/>
          <w:sz w:val="14"/>
          <w:szCs w:val="28"/>
          <w:lang w:eastAsia="ru-RU"/>
        </w:rPr>
      </w:pPr>
    </w:p>
    <w:p w:rsidR="00E1619F" w:rsidRPr="00F87C95" w:rsidRDefault="00197D73" w:rsidP="00F87C95">
      <w:pPr>
        <w:spacing w:after="0" w:line="360" w:lineRule="auto"/>
        <w:ind w:firstLine="709"/>
        <w:jc w:val="both"/>
        <w:rPr>
          <w:rFonts w:eastAsia="Times New Roman" w:cs="Times New Roman"/>
          <w:sz w:val="28"/>
          <w:szCs w:val="28"/>
          <w:lang w:eastAsia="ru-RU"/>
        </w:rPr>
      </w:pPr>
      <w:r w:rsidRPr="00F87C95">
        <w:rPr>
          <w:rFonts w:eastAsia="Times New Roman" w:cs="Times New Roman"/>
          <w:sz w:val="28"/>
          <w:szCs w:val="28"/>
          <w:lang w:eastAsia="ru-RU"/>
        </w:rPr>
        <w:t xml:space="preserve">За </w:t>
      </w:r>
      <w:r w:rsidR="00EC70AC">
        <w:rPr>
          <w:rFonts w:eastAsia="Times New Roman" w:cs="Times New Roman"/>
          <w:sz w:val="28"/>
          <w:szCs w:val="28"/>
          <w:lang w:eastAsia="ru-RU"/>
        </w:rPr>
        <w:t>2 квартал</w:t>
      </w:r>
      <w:r w:rsidR="007A5935">
        <w:rPr>
          <w:rFonts w:eastAsia="Times New Roman" w:cs="Times New Roman"/>
          <w:sz w:val="28"/>
          <w:szCs w:val="28"/>
          <w:lang w:eastAsia="ru-RU"/>
        </w:rPr>
        <w:t xml:space="preserve"> 2024 года</w:t>
      </w:r>
      <w:r w:rsidR="007235AC" w:rsidRPr="00F87C95">
        <w:rPr>
          <w:rFonts w:eastAsia="Times New Roman" w:cs="Times New Roman"/>
          <w:sz w:val="28"/>
          <w:szCs w:val="28"/>
          <w:lang w:eastAsia="ru-RU"/>
        </w:rPr>
        <w:t xml:space="preserve"> </w:t>
      </w:r>
      <w:r w:rsidR="008278F7" w:rsidRPr="00F87C95">
        <w:rPr>
          <w:rFonts w:eastAsia="Times New Roman" w:cs="Times New Roman"/>
          <w:sz w:val="28"/>
          <w:szCs w:val="28"/>
          <w:lang w:eastAsia="ru-RU"/>
        </w:rPr>
        <w:t>в Единой информационной системе (далее – ЕИС)</w:t>
      </w:r>
      <w:r w:rsidR="00CA592C" w:rsidRPr="00F87C95">
        <w:rPr>
          <w:rFonts w:eastAsia="Times New Roman" w:cs="Times New Roman"/>
          <w:sz w:val="28"/>
          <w:szCs w:val="28"/>
          <w:lang w:eastAsia="ru-RU"/>
        </w:rPr>
        <w:t xml:space="preserve"> размещены закупки с использованием следующих способов определения поставщи</w:t>
      </w:r>
      <w:r w:rsidR="00434BAF">
        <w:rPr>
          <w:rFonts w:eastAsia="Times New Roman" w:cs="Times New Roman"/>
          <w:sz w:val="28"/>
          <w:szCs w:val="28"/>
          <w:lang w:eastAsia="ru-RU"/>
        </w:rPr>
        <w:t>ков (подрядчиков, исполнителей). Сводные данные по способам закупок за отчетный пер</w:t>
      </w:r>
      <w:r w:rsidR="008C471E">
        <w:rPr>
          <w:rFonts w:eastAsia="Times New Roman" w:cs="Times New Roman"/>
          <w:sz w:val="28"/>
          <w:szCs w:val="28"/>
          <w:lang w:eastAsia="ru-RU"/>
        </w:rPr>
        <w:t>иод предоставлены в таблице № 2 и на диаграмме № 3.</w:t>
      </w:r>
    </w:p>
    <w:p w:rsidR="00275CA4" w:rsidRPr="0043542E" w:rsidRDefault="00275CA4" w:rsidP="00F87C95">
      <w:pPr>
        <w:spacing w:after="0" w:line="360" w:lineRule="auto"/>
        <w:ind w:left="720"/>
        <w:jc w:val="both"/>
        <w:rPr>
          <w:rFonts w:eastAsia="Times New Roman" w:cs="Times New Roman"/>
          <w:sz w:val="12"/>
          <w:szCs w:val="28"/>
          <w:lang w:eastAsia="ru-RU"/>
        </w:rPr>
      </w:pPr>
    </w:p>
    <w:p w:rsidR="00E60397" w:rsidRPr="00275CA4" w:rsidRDefault="00275CA4" w:rsidP="0095710A">
      <w:pPr>
        <w:spacing w:after="0" w:line="240" w:lineRule="auto"/>
        <w:ind w:left="720"/>
        <w:jc w:val="right"/>
        <w:rPr>
          <w:rFonts w:eastAsia="Times New Roman" w:cs="Times New Roman"/>
          <w:b/>
          <w:sz w:val="28"/>
          <w:szCs w:val="28"/>
          <w:lang w:eastAsia="ru-RU"/>
        </w:rPr>
      </w:pPr>
      <w:r w:rsidRPr="004215F0">
        <w:rPr>
          <w:rFonts w:eastAsia="Times New Roman" w:cs="Times New Roman"/>
          <w:b/>
          <w:sz w:val="28"/>
          <w:szCs w:val="28"/>
          <w:lang w:eastAsia="ru-RU"/>
        </w:rPr>
        <w:t>Таблица №2</w:t>
      </w:r>
    </w:p>
    <w:tbl>
      <w:tblPr>
        <w:tblStyle w:val="ac"/>
        <w:tblW w:w="10632" w:type="dxa"/>
        <w:tblInd w:w="108" w:type="dxa"/>
        <w:shd w:val="clear" w:color="auto" w:fill="EEECE1" w:themeFill="background2"/>
        <w:tblLayout w:type="fixed"/>
        <w:tblLook w:val="04A0" w:firstRow="1" w:lastRow="0" w:firstColumn="1" w:lastColumn="0" w:noHBand="0" w:noVBand="1"/>
      </w:tblPr>
      <w:tblGrid>
        <w:gridCol w:w="709"/>
        <w:gridCol w:w="5387"/>
        <w:gridCol w:w="1843"/>
        <w:gridCol w:w="2693"/>
      </w:tblGrid>
      <w:tr w:rsidR="0003416B" w:rsidRPr="00DC4775" w:rsidTr="00802CBD">
        <w:trPr>
          <w:trHeight w:val="699"/>
          <w:tblHeader/>
        </w:trPr>
        <w:tc>
          <w:tcPr>
            <w:tcW w:w="709" w:type="dxa"/>
            <w:tcBorders>
              <w:bottom w:val="single" w:sz="4" w:space="0" w:color="auto"/>
            </w:tcBorders>
            <w:shd w:val="clear" w:color="auto" w:fill="EEECE1" w:themeFill="background2"/>
            <w:vAlign w:val="center"/>
          </w:tcPr>
          <w:p w:rsidR="0003416B" w:rsidRPr="00DC4775" w:rsidRDefault="0003416B" w:rsidP="00C01CC2">
            <w:pPr>
              <w:widowControl w:val="0"/>
              <w:spacing w:after="0" w:line="240" w:lineRule="auto"/>
              <w:jc w:val="center"/>
              <w:rPr>
                <w:rFonts w:eastAsia="Times New Roman" w:cs="Times New Roman"/>
                <w:sz w:val="24"/>
                <w:szCs w:val="24"/>
                <w:lang w:eastAsia="ru-RU"/>
              </w:rPr>
            </w:pPr>
            <w:r w:rsidRPr="00DC4775">
              <w:rPr>
                <w:rFonts w:eastAsia="Times New Roman" w:cs="Times New Roman"/>
                <w:sz w:val="24"/>
                <w:szCs w:val="24"/>
                <w:lang w:eastAsia="ru-RU"/>
              </w:rPr>
              <w:t xml:space="preserve">№ </w:t>
            </w:r>
            <w:proofErr w:type="gramStart"/>
            <w:r w:rsidRPr="00DC4775">
              <w:rPr>
                <w:rFonts w:eastAsia="Times New Roman" w:cs="Times New Roman"/>
                <w:sz w:val="24"/>
                <w:szCs w:val="24"/>
                <w:lang w:eastAsia="ru-RU"/>
              </w:rPr>
              <w:t>п</w:t>
            </w:r>
            <w:proofErr w:type="gramEnd"/>
            <w:r w:rsidRPr="00DC4775">
              <w:rPr>
                <w:rFonts w:eastAsia="Times New Roman" w:cs="Times New Roman"/>
                <w:sz w:val="24"/>
                <w:szCs w:val="24"/>
                <w:lang w:eastAsia="ru-RU"/>
              </w:rPr>
              <w:t>/п</w:t>
            </w:r>
          </w:p>
        </w:tc>
        <w:tc>
          <w:tcPr>
            <w:tcW w:w="5387" w:type="dxa"/>
            <w:tcBorders>
              <w:bottom w:val="single" w:sz="4" w:space="0" w:color="auto"/>
            </w:tcBorders>
            <w:shd w:val="clear" w:color="auto" w:fill="EEECE1" w:themeFill="background2"/>
            <w:vAlign w:val="center"/>
          </w:tcPr>
          <w:p w:rsidR="0003416B" w:rsidRPr="00DC4775" w:rsidRDefault="0003416B" w:rsidP="00C01CC2">
            <w:pPr>
              <w:widowControl w:val="0"/>
              <w:spacing w:after="0" w:line="240" w:lineRule="auto"/>
              <w:jc w:val="center"/>
              <w:rPr>
                <w:rFonts w:eastAsia="Times New Roman" w:cs="Times New Roman"/>
                <w:sz w:val="24"/>
                <w:szCs w:val="24"/>
                <w:lang w:eastAsia="ru-RU"/>
              </w:rPr>
            </w:pPr>
            <w:r w:rsidRPr="00DC4775">
              <w:rPr>
                <w:rFonts w:eastAsia="Times New Roman" w:cs="Times New Roman"/>
                <w:sz w:val="24"/>
                <w:szCs w:val="24"/>
                <w:lang w:eastAsia="ru-RU"/>
              </w:rPr>
              <w:t>Способ определения поставщика (подрядчика, исполнителя)</w:t>
            </w:r>
          </w:p>
        </w:tc>
        <w:tc>
          <w:tcPr>
            <w:tcW w:w="1843" w:type="dxa"/>
            <w:tcBorders>
              <w:bottom w:val="single" w:sz="4" w:space="0" w:color="auto"/>
            </w:tcBorders>
            <w:shd w:val="clear" w:color="auto" w:fill="EEECE1" w:themeFill="background2"/>
            <w:vAlign w:val="center"/>
          </w:tcPr>
          <w:p w:rsidR="0003416B" w:rsidRPr="00DC4775" w:rsidRDefault="0003416B" w:rsidP="00C01CC2">
            <w:pPr>
              <w:widowControl w:val="0"/>
              <w:spacing w:after="0" w:line="240" w:lineRule="auto"/>
              <w:jc w:val="center"/>
              <w:rPr>
                <w:rFonts w:eastAsia="Times New Roman" w:cs="Times New Roman"/>
                <w:sz w:val="24"/>
                <w:szCs w:val="24"/>
                <w:lang w:eastAsia="ru-RU"/>
              </w:rPr>
            </w:pPr>
            <w:r w:rsidRPr="00DC4775">
              <w:rPr>
                <w:rFonts w:eastAsia="Times New Roman" w:cs="Times New Roman"/>
                <w:sz w:val="24"/>
                <w:szCs w:val="24"/>
                <w:lang w:eastAsia="ru-RU"/>
              </w:rPr>
              <w:t>Количество извещений, шт.</w:t>
            </w:r>
          </w:p>
        </w:tc>
        <w:tc>
          <w:tcPr>
            <w:tcW w:w="2693" w:type="dxa"/>
            <w:tcBorders>
              <w:bottom w:val="single" w:sz="4" w:space="0" w:color="auto"/>
            </w:tcBorders>
            <w:shd w:val="clear" w:color="auto" w:fill="EEECE1" w:themeFill="background2"/>
          </w:tcPr>
          <w:p w:rsidR="0003416B" w:rsidRPr="00DC4775" w:rsidRDefault="009068D2" w:rsidP="00C01CC2">
            <w:pPr>
              <w:widowControl w:val="0"/>
              <w:spacing w:after="0" w:line="240" w:lineRule="auto"/>
              <w:jc w:val="center"/>
              <w:rPr>
                <w:rFonts w:eastAsia="Times New Roman" w:cs="Times New Roman"/>
                <w:sz w:val="24"/>
                <w:szCs w:val="24"/>
                <w:lang w:eastAsia="ru-RU"/>
              </w:rPr>
            </w:pPr>
            <w:r w:rsidRPr="009068D2">
              <w:rPr>
                <w:rFonts w:eastAsia="Times New Roman" w:cs="Times New Roman"/>
                <w:sz w:val="24"/>
                <w:szCs w:val="24"/>
                <w:lang w:eastAsia="ru-RU"/>
              </w:rPr>
              <w:t>Сумма начальных максимальных цен опубликованных процедур, руб.</w:t>
            </w:r>
          </w:p>
        </w:tc>
      </w:tr>
      <w:tr w:rsidR="00802CBD" w:rsidRPr="00802CBD" w:rsidTr="00802CBD">
        <w:trPr>
          <w:trHeight w:val="114"/>
          <w:tblHeader/>
        </w:trPr>
        <w:tc>
          <w:tcPr>
            <w:tcW w:w="709"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1</w:t>
            </w:r>
          </w:p>
        </w:tc>
        <w:tc>
          <w:tcPr>
            <w:tcW w:w="5387"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2</w:t>
            </w:r>
          </w:p>
        </w:tc>
        <w:tc>
          <w:tcPr>
            <w:tcW w:w="1843"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3</w:t>
            </w:r>
          </w:p>
        </w:tc>
        <w:tc>
          <w:tcPr>
            <w:tcW w:w="2693"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4</w:t>
            </w:r>
          </w:p>
        </w:tc>
      </w:tr>
      <w:tr w:rsidR="00802CBD" w:rsidRPr="00802CBD" w:rsidTr="00802CBD">
        <w:tc>
          <w:tcPr>
            <w:tcW w:w="709"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1</w:t>
            </w:r>
          </w:p>
        </w:tc>
        <w:tc>
          <w:tcPr>
            <w:tcW w:w="5387" w:type="dxa"/>
            <w:shd w:val="clear" w:color="auto" w:fill="EEECE1" w:themeFill="background2"/>
          </w:tcPr>
          <w:p w:rsidR="0003416B" w:rsidRPr="00802CBD" w:rsidRDefault="0003416B" w:rsidP="00CA592C">
            <w:pPr>
              <w:widowControl w:val="0"/>
              <w:spacing w:after="0" w:line="240" w:lineRule="auto"/>
              <w:jc w:val="both"/>
              <w:rPr>
                <w:rFonts w:eastAsia="Times New Roman" w:cs="Times New Roman"/>
                <w:sz w:val="24"/>
                <w:szCs w:val="24"/>
                <w:lang w:eastAsia="ru-RU"/>
              </w:rPr>
            </w:pPr>
            <w:r w:rsidRPr="00802CBD">
              <w:rPr>
                <w:rFonts w:eastAsia="Times New Roman" w:cs="Times New Roman"/>
                <w:sz w:val="24"/>
                <w:szCs w:val="24"/>
                <w:lang w:eastAsia="ru-RU"/>
              </w:rPr>
              <w:t>Электронный аукцион</w:t>
            </w:r>
          </w:p>
        </w:tc>
        <w:tc>
          <w:tcPr>
            <w:tcW w:w="1843" w:type="dxa"/>
            <w:shd w:val="clear" w:color="auto" w:fill="EEECE1" w:themeFill="background2"/>
            <w:vAlign w:val="center"/>
          </w:tcPr>
          <w:p w:rsidR="0003416B" w:rsidRPr="00802CBD" w:rsidRDefault="008F62DD" w:rsidP="00517A21">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143</w:t>
            </w:r>
          </w:p>
        </w:tc>
        <w:tc>
          <w:tcPr>
            <w:tcW w:w="2693" w:type="dxa"/>
            <w:shd w:val="clear" w:color="auto" w:fill="EEECE1" w:themeFill="background2"/>
            <w:vAlign w:val="center"/>
          </w:tcPr>
          <w:p w:rsidR="0003416B" w:rsidRPr="00802CBD" w:rsidRDefault="008F62DD" w:rsidP="0058605F">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1 028 218 278,39</w:t>
            </w:r>
          </w:p>
        </w:tc>
      </w:tr>
      <w:tr w:rsidR="00802CBD" w:rsidRPr="00802CBD" w:rsidTr="00802CBD">
        <w:tc>
          <w:tcPr>
            <w:tcW w:w="709"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2</w:t>
            </w:r>
          </w:p>
        </w:tc>
        <w:tc>
          <w:tcPr>
            <w:tcW w:w="5387" w:type="dxa"/>
            <w:shd w:val="clear" w:color="auto" w:fill="EEECE1" w:themeFill="background2"/>
          </w:tcPr>
          <w:p w:rsidR="0003416B" w:rsidRPr="00802CBD" w:rsidRDefault="0003416B" w:rsidP="00CA592C">
            <w:pPr>
              <w:widowControl w:val="0"/>
              <w:spacing w:after="0" w:line="240" w:lineRule="auto"/>
              <w:jc w:val="both"/>
              <w:rPr>
                <w:rFonts w:eastAsia="Times New Roman" w:cs="Times New Roman"/>
                <w:sz w:val="24"/>
                <w:szCs w:val="24"/>
                <w:lang w:eastAsia="ru-RU"/>
              </w:rPr>
            </w:pPr>
            <w:r w:rsidRPr="00802CBD">
              <w:rPr>
                <w:rFonts w:eastAsia="Times New Roman" w:cs="Times New Roman"/>
                <w:sz w:val="24"/>
                <w:szCs w:val="24"/>
                <w:lang w:eastAsia="ru-RU"/>
              </w:rPr>
              <w:t>Открытый конкурс в электронной форме</w:t>
            </w:r>
          </w:p>
        </w:tc>
        <w:tc>
          <w:tcPr>
            <w:tcW w:w="1843" w:type="dxa"/>
            <w:shd w:val="clear" w:color="auto" w:fill="EEECE1" w:themeFill="background2"/>
            <w:vAlign w:val="center"/>
          </w:tcPr>
          <w:p w:rsidR="0003416B" w:rsidRPr="00802CBD" w:rsidRDefault="008F62DD" w:rsidP="00517A21">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4</w:t>
            </w:r>
          </w:p>
        </w:tc>
        <w:tc>
          <w:tcPr>
            <w:tcW w:w="2693" w:type="dxa"/>
            <w:shd w:val="clear" w:color="auto" w:fill="EEECE1" w:themeFill="background2"/>
            <w:vAlign w:val="center"/>
          </w:tcPr>
          <w:p w:rsidR="0003416B" w:rsidRPr="00802CBD" w:rsidRDefault="00F453F4" w:rsidP="00517A21">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293 073 313,69</w:t>
            </w:r>
          </w:p>
        </w:tc>
      </w:tr>
      <w:tr w:rsidR="00802CBD" w:rsidRPr="00802CBD" w:rsidTr="00802CBD">
        <w:tc>
          <w:tcPr>
            <w:tcW w:w="709"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3</w:t>
            </w:r>
          </w:p>
        </w:tc>
        <w:tc>
          <w:tcPr>
            <w:tcW w:w="5387" w:type="dxa"/>
            <w:shd w:val="clear" w:color="auto" w:fill="EEECE1" w:themeFill="background2"/>
          </w:tcPr>
          <w:p w:rsidR="0003416B" w:rsidRPr="00802CBD" w:rsidRDefault="0003416B" w:rsidP="00CA592C">
            <w:pPr>
              <w:widowControl w:val="0"/>
              <w:spacing w:after="0" w:line="240" w:lineRule="auto"/>
              <w:jc w:val="both"/>
              <w:rPr>
                <w:rFonts w:eastAsia="Times New Roman" w:cs="Times New Roman"/>
                <w:sz w:val="24"/>
                <w:szCs w:val="24"/>
                <w:lang w:eastAsia="ru-RU"/>
              </w:rPr>
            </w:pPr>
            <w:r w:rsidRPr="00802CBD">
              <w:rPr>
                <w:rFonts w:eastAsia="Times New Roman" w:cs="Times New Roman"/>
                <w:sz w:val="24"/>
                <w:szCs w:val="24"/>
                <w:lang w:eastAsia="ru-RU"/>
              </w:rPr>
              <w:t>Запрос котировок в электронной форме</w:t>
            </w:r>
          </w:p>
        </w:tc>
        <w:tc>
          <w:tcPr>
            <w:tcW w:w="1843" w:type="dxa"/>
            <w:shd w:val="clear" w:color="auto" w:fill="EEECE1" w:themeFill="background2"/>
            <w:vAlign w:val="center"/>
          </w:tcPr>
          <w:p w:rsidR="0003416B" w:rsidRPr="00802CBD" w:rsidRDefault="008F62DD" w:rsidP="00517A21">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22</w:t>
            </w:r>
          </w:p>
        </w:tc>
        <w:tc>
          <w:tcPr>
            <w:tcW w:w="2693" w:type="dxa"/>
            <w:shd w:val="clear" w:color="auto" w:fill="EEECE1" w:themeFill="background2"/>
            <w:vAlign w:val="center"/>
          </w:tcPr>
          <w:p w:rsidR="0003416B" w:rsidRPr="00802CBD" w:rsidRDefault="00D122EA" w:rsidP="00517A21">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17 095 049,4</w:t>
            </w:r>
          </w:p>
        </w:tc>
      </w:tr>
      <w:tr w:rsidR="00802CBD" w:rsidRPr="00802CBD" w:rsidTr="00802CBD">
        <w:trPr>
          <w:trHeight w:val="70"/>
        </w:trPr>
        <w:tc>
          <w:tcPr>
            <w:tcW w:w="6096" w:type="dxa"/>
            <w:gridSpan w:val="2"/>
            <w:shd w:val="clear" w:color="auto" w:fill="EEECE1" w:themeFill="background2"/>
          </w:tcPr>
          <w:p w:rsidR="0003416B" w:rsidRPr="00802CBD" w:rsidRDefault="0003416B" w:rsidP="00CA592C">
            <w:pPr>
              <w:widowControl w:val="0"/>
              <w:spacing w:after="0" w:line="240" w:lineRule="auto"/>
              <w:jc w:val="right"/>
              <w:rPr>
                <w:rFonts w:eastAsia="Times New Roman" w:cs="Times New Roman"/>
                <w:b/>
                <w:sz w:val="24"/>
                <w:szCs w:val="24"/>
                <w:lang w:eastAsia="ru-RU"/>
              </w:rPr>
            </w:pPr>
            <w:r w:rsidRPr="00802CBD">
              <w:rPr>
                <w:rFonts w:eastAsia="Times New Roman" w:cs="Times New Roman"/>
                <w:b/>
                <w:sz w:val="24"/>
                <w:szCs w:val="24"/>
                <w:lang w:eastAsia="ru-RU"/>
              </w:rPr>
              <w:t>ИТОГО:</w:t>
            </w:r>
          </w:p>
        </w:tc>
        <w:tc>
          <w:tcPr>
            <w:tcW w:w="1843" w:type="dxa"/>
            <w:shd w:val="clear" w:color="auto" w:fill="EEECE1" w:themeFill="background2"/>
            <w:vAlign w:val="center"/>
          </w:tcPr>
          <w:p w:rsidR="0003416B" w:rsidRPr="00802CBD" w:rsidRDefault="00295F3E" w:rsidP="00517A21">
            <w:pPr>
              <w:widowControl w:val="0"/>
              <w:spacing w:after="0" w:line="240" w:lineRule="auto"/>
              <w:jc w:val="center"/>
              <w:rPr>
                <w:rFonts w:eastAsia="Times New Roman" w:cs="Times New Roman"/>
                <w:b/>
                <w:sz w:val="24"/>
                <w:szCs w:val="24"/>
                <w:lang w:eastAsia="ru-RU"/>
              </w:rPr>
            </w:pPr>
            <w:r w:rsidRPr="00802CBD">
              <w:rPr>
                <w:rFonts w:eastAsia="Times New Roman" w:cs="Times New Roman"/>
                <w:b/>
                <w:sz w:val="24"/>
                <w:szCs w:val="24"/>
                <w:lang w:eastAsia="ru-RU"/>
              </w:rPr>
              <w:t>169</w:t>
            </w:r>
          </w:p>
        </w:tc>
        <w:tc>
          <w:tcPr>
            <w:tcW w:w="2693" w:type="dxa"/>
            <w:shd w:val="clear" w:color="auto" w:fill="EEECE1" w:themeFill="background2"/>
            <w:vAlign w:val="center"/>
          </w:tcPr>
          <w:p w:rsidR="0003416B" w:rsidRPr="00802CBD" w:rsidRDefault="00295F3E" w:rsidP="00517A21">
            <w:pPr>
              <w:widowControl w:val="0"/>
              <w:spacing w:after="0" w:line="240" w:lineRule="auto"/>
              <w:jc w:val="center"/>
              <w:rPr>
                <w:rFonts w:eastAsia="Times New Roman" w:cs="Times New Roman"/>
                <w:b/>
                <w:sz w:val="24"/>
                <w:szCs w:val="24"/>
                <w:lang w:eastAsia="ru-RU"/>
              </w:rPr>
            </w:pPr>
            <w:r w:rsidRPr="00802CBD">
              <w:rPr>
                <w:b/>
                <w:sz w:val="24"/>
                <w:szCs w:val="24"/>
              </w:rPr>
              <w:t>1 338 386 641,48</w:t>
            </w:r>
          </w:p>
        </w:tc>
      </w:tr>
    </w:tbl>
    <w:p w:rsidR="00CA592C" w:rsidRPr="00802CBD" w:rsidRDefault="00CA592C" w:rsidP="00F87C95">
      <w:pPr>
        <w:spacing w:after="0" w:line="360" w:lineRule="auto"/>
        <w:jc w:val="both"/>
        <w:rPr>
          <w:rFonts w:eastAsia="Times New Roman" w:cs="Times New Roman"/>
          <w:sz w:val="16"/>
          <w:szCs w:val="28"/>
          <w:lang w:eastAsia="ru-RU"/>
        </w:rPr>
      </w:pPr>
    </w:p>
    <w:p w:rsidR="00B550FD" w:rsidRPr="00802CBD" w:rsidRDefault="00B550FD" w:rsidP="00F87C95">
      <w:pPr>
        <w:spacing w:after="0" w:line="360" w:lineRule="auto"/>
        <w:ind w:firstLine="720"/>
        <w:jc w:val="both"/>
        <w:rPr>
          <w:rFonts w:eastAsia="Times New Roman" w:cs="Times New Roman"/>
          <w:sz w:val="28"/>
          <w:szCs w:val="28"/>
          <w:lang w:eastAsia="ru-RU"/>
        </w:rPr>
      </w:pPr>
      <w:r w:rsidRPr="00802CBD">
        <w:rPr>
          <w:rFonts w:eastAsia="Times New Roman" w:cs="Times New Roman"/>
          <w:sz w:val="28"/>
          <w:szCs w:val="28"/>
          <w:lang w:eastAsia="ru-RU"/>
        </w:rPr>
        <w:t>И</w:t>
      </w:r>
      <w:r w:rsidR="00914E22" w:rsidRPr="00802CBD">
        <w:rPr>
          <w:rFonts w:eastAsia="Times New Roman" w:cs="Times New Roman"/>
          <w:sz w:val="28"/>
          <w:szCs w:val="28"/>
          <w:lang w:eastAsia="ru-RU"/>
        </w:rPr>
        <w:t xml:space="preserve">сходя из приведенных данных за </w:t>
      </w:r>
      <w:r w:rsidR="00590828">
        <w:rPr>
          <w:rFonts w:eastAsia="Times New Roman" w:cs="Times New Roman"/>
          <w:sz w:val="28"/>
          <w:szCs w:val="28"/>
          <w:lang w:eastAsia="ru-RU"/>
        </w:rPr>
        <w:t xml:space="preserve"> </w:t>
      </w:r>
      <w:r w:rsidR="00EC70AC">
        <w:rPr>
          <w:rFonts w:eastAsia="Times New Roman" w:cs="Times New Roman"/>
          <w:sz w:val="28"/>
          <w:szCs w:val="28"/>
          <w:lang w:eastAsia="ru-RU"/>
        </w:rPr>
        <w:t>2 квартал</w:t>
      </w:r>
      <w:r w:rsidR="00295F3E" w:rsidRPr="00802CBD">
        <w:rPr>
          <w:rFonts w:eastAsia="Times New Roman" w:cs="Times New Roman"/>
          <w:sz w:val="28"/>
          <w:szCs w:val="28"/>
          <w:lang w:eastAsia="ru-RU"/>
        </w:rPr>
        <w:t xml:space="preserve"> 2024</w:t>
      </w:r>
      <w:r w:rsidRPr="00802CBD">
        <w:rPr>
          <w:rFonts w:eastAsia="Times New Roman" w:cs="Times New Roman"/>
          <w:sz w:val="28"/>
          <w:szCs w:val="28"/>
          <w:lang w:eastAsia="ru-RU"/>
        </w:rPr>
        <w:t xml:space="preserve"> года </w:t>
      </w:r>
      <w:r w:rsidR="00454C57" w:rsidRPr="00802CBD">
        <w:rPr>
          <w:rFonts w:eastAsia="Times New Roman" w:cs="Times New Roman"/>
          <w:sz w:val="28"/>
          <w:szCs w:val="28"/>
          <w:lang w:eastAsia="ru-RU"/>
        </w:rPr>
        <w:t xml:space="preserve">приоритетными </w:t>
      </w:r>
      <w:r w:rsidRPr="00802CBD">
        <w:rPr>
          <w:rFonts w:eastAsia="Times New Roman" w:cs="Times New Roman"/>
          <w:sz w:val="28"/>
          <w:szCs w:val="28"/>
          <w:lang w:eastAsia="ru-RU"/>
        </w:rPr>
        <w:t>способами определения поставщика (подрядчика, исполнителя) являются:</w:t>
      </w:r>
    </w:p>
    <w:p w:rsidR="00B550FD" w:rsidRPr="00802CBD" w:rsidRDefault="00B550FD" w:rsidP="00F87C95">
      <w:pPr>
        <w:spacing w:after="0" w:line="360" w:lineRule="auto"/>
        <w:ind w:firstLine="720"/>
        <w:jc w:val="both"/>
        <w:rPr>
          <w:rFonts w:eastAsia="Times New Roman" w:cs="Times New Roman"/>
          <w:sz w:val="28"/>
          <w:szCs w:val="28"/>
          <w:lang w:eastAsia="ru-RU"/>
        </w:rPr>
      </w:pPr>
      <w:r w:rsidRPr="00802CBD">
        <w:rPr>
          <w:rFonts w:eastAsia="Times New Roman" w:cs="Times New Roman"/>
          <w:sz w:val="28"/>
          <w:szCs w:val="28"/>
          <w:lang w:eastAsia="ru-RU"/>
        </w:rPr>
        <w:t xml:space="preserve">- электронный аукцион – </w:t>
      </w:r>
      <w:r w:rsidR="00D01CA7" w:rsidRPr="00802CBD">
        <w:rPr>
          <w:rFonts w:eastAsia="Times New Roman" w:cs="Times New Roman"/>
          <w:b/>
          <w:sz w:val="28"/>
          <w:szCs w:val="28"/>
          <w:lang w:eastAsia="ru-RU"/>
        </w:rPr>
        <w:t xml:space="preserve">84,6 </w:t>
      </w:r>
      <w:r w:rsidRPr="00802CBD">
        <w:rPr>
          <w:rFonts w:eastAsia="Times New Roman" w:cs="Times New Roman"/>
          <w:b/>
          <w:sz w:val="28"/>
          <w:szCs w:val="28"/>
          <w:lang w:eastAsia="ru-RU"/>
        </w:rPr>
        <w:t xml:space="preserve">% </w:t>
      </w:r>
      <w:r w:rsidRPr="00802CBD">
        <w:rPr>
          <w:rFonts w:eastAsia="Times New Roman" w:cs="Times New Roman"/>
          <w:sz w:val="28"/>
          <w:szCs w:val="28"/>
          <w:lang w:eastAsia="ru-RU"/>
        </w:rPr>
        <w:t xml:space="preserve">в количественном и </w:t>
      </w:r>
      <w:r w:rsidR="00D01CA7" w:rsidRPr="00802CBD">
        <w:rPr>
          <w:rFonts w:eastAsia="Times New Roman" w:cs="Times New Roman"/>
          <w:b/>
          <w:sz w:val="28"/>
          <w:szCs w:val="28"/>
          <w:lang w:eastAsia="ru-RU"/>
        </w:rPr>
        <w:t>76</w:t>
      </w:r>
      <w:r w:rsidR="00165F14" w:rsidRPr="00802CBD">
        <w:rPr>
          <w:rFonts w:eastAsia="Times New Roman" w:cs="Times New Roman"/>
          <w:b/>
          <w:sz w:val="28"/>
          <w:szCs w:val="28"/>
          <w:lang w:eastAsia="ru-RU"/>
        </w:rPr>
        <w:t>,8</w:t>
      </w:r>
      <w:r w:rsidR="009C3A71" w:rsidRPr="00802CBD">
        <w:rPr>
          <w:rFonts w:eastAsia="Times New Roman" w:cs="Times New Roman"/>
          <w:b/>
          <w:sz w:val="28"/>
          <w:szCs w:val="28"/>
          <w:lang w:eastAsia="ru-RU"/>
        </w:rPr>
        <w:t xml:space="preserve"> </w:t>
      </w:r>
      <w:r w:rsidRPr="00802CBD">
        <w:rPr>
          <w:rFonts w:eastAsia="Times New Roman" w:cs="Times New Roman"/>
          <w:b/>
          <w:sz w:val="28"/>
          <w:szCs w:val="28"/>
          <w:lang w:eastAsia="ru-RU"/>
        </w:rPr>
        <w:t>%</w:t>
      </w:r>
      <w:r w:rsidRPr="00802CBD">
        <w:rPr>
          <w:rFonts w:eastAsia="Times New Roman" w:cs="Times New Roman"/>
          <w:sz w:val="28"/>
          <w:szCs w:val="28"/>
          <w:lang w:eastAsia="ru-RU"/>
        </w:rPr>
        <w:t xml:space="preserve"> в стоимостном выражении;</w:t>
      </w:r>
    </w:p>
    <w:p w:rsidR="00B550FD" w:rsidRPr="00802CBD" w:rsidRDefault="00B550FD" w:rsidP="00F87C95">
      <w:pPr>
        <w:spacing w:after="0" w:line="360" w:lineRule="auto"/>
        <w:ind w:firstLine="720"/>
        <w:jc w:val="both"/>
        <w:rPr>
          <w:rFonts w:eastAsia="Times New Roman" w:cs="Times New Roman"/>
          <w:sz w:val="28"/>
          <w:szCs w:val="28"/>
          <w:lang w:eastAsia="ru-RU"/>
        </w:rPr>
      </w:pPr>
      <w:r w:rsidRPr="00802CBD">
        <w:rPr>
          <w:rFonts w:eastAsia="Times New Roman" w:cs="Times New Roman"/>
          <w:sz w:val="28"/>
          <w:szCs w:val="28"/>
          <w:lang w:eastAsia="ru-RU"/>
        </w:rPr>
        <w:t xml:space="preserve">- открытый конкурс в электронной форме – </w:t>
      </w:r>
      <w:r w:rsidR="00D01CA7" w:rsidRPr="00802CBD">
        <w:rPr>
          <w:rFonts w:eastAsia="Times New Roman" w:cs="Times New Roman"/>
          <w:b/>
          <w:sz w:val="28"/>
          <w:szCs w:val="28"/>
          <w:lang w:eastAsia="ru-RU"/>
        </w:rPr>
        <w:t xml:space="preserve"> 2,4 </w:t>
      </w:r>
      <w:r w:rsidRPr="00802CBD">
        <w:rPr>
          <w:rFonts w:eastAsia="Times New Roman" w:cs="Times New Roman"/>
          <w:b/>
          <w:sz w:val="28"/>
          <w:szCs w:val="28"/>
          <w:lang w:eastAsia="ru-RU"/>
        </w:rPr>
        <w:t>%</w:t>
      </w:r>
      <w:r w:rsidRPr="00802CBD">
        <w:rPr>
          <w:rFonts w:eastAsia="Times New Roman" w:cs="Times New Roman"/>
          <w:sz w:val="28"/>
          <w:szCs w:val="28"/>
          <w:lang w:eastAsia="ru-RU"/>
        </w:rPr>
        <w:t xml:space="preserve"> в количественном и </w:t>
      </w:r>
      <w:r w:rsidR="00B0450C" w:rsidRPr="00802CBD">
        <w:rPr>
          <w:rFonts w:eastAsia="Times New Roman" w:cs="Times New Roman"/>
          <w:b/>
          <w:sz w:val="28"/>
          <w:szCs w:val="28"/>
          <w:lang w:eastAsia="ru-RU"/>
        </w:rPr>
        <w:t>2</w:t>
      </w:r>
      <w:r w:rsidR="00D01CA7" w:rsidRPr="00802CBD">
        <w:rPr>
          <w:rFonts w:eastAsia="Times New Roman" w:cs="Times New Roman"/>
          <w:b/>
          <w:sz w:val="28"/>
          <w:szCs w:val="28"/>
          <w:lang w:eastAsia="ru-RU"/>
        </w:rPr>
        <w:t>1</w:t>
      </w:r>
      <w:r w:rsidR="00B0450C" w:rsidRPr="00802CBD">
        <w:rPr>
          <w:rFonts w:eastAsia="Times New Roman" w:cs="Times New Roman"/>
          <w:b/>
          <w:sz w:val="28"/>
          <w:szCs w:val="28"/>
          <w:lang w:eastAsia="ru-RU"/>
        </w:rPr>
        <w:t>,9</w:t>
      </w:r>
      <w:r w:rsidR="009C3A71" w:rsidRPr="00802CBD">
        <w:rPr>
          <w:rFonts w:eastAsia="Times New Roman" w:cs="Times New Roman"/>
          <w:b/>
          <w:sz w:val="28"/>
          <w:szCs w:val="28"/>
          <w:lang w:eastAsia="ru-RU"/>
        </w:rPr>
        <w:t xml:space="preserve"> </w:t>
      </w:r>
      <w:r w:rsidRPr="00802CBD">
        <w:rPr>
          <w:rFonts w:eastAsia="Times New Roman" w:cs="Times New Roman"/>
          <w:b/>
          <w:sz w:val="28"/>
          <w:szCs w:val="28"/>
          <w:lang w:eastAsia="ru-RU"/>
        </w:rPr>
        <w:t>%</w:t>
      </w:r>
      <w:r w:rsidRPr="00802CBD">
        <w:rPr>
          <w:rFonts w:eastAsia="Times New Roman" w:cs="Times New Roman"/>
          <w:sz w:val="28"/>
          <w:szCs w:val="28"/>
          <w:lang w:eastAsia="ru-RU"/>
        </w:rPr>
        <w:t xml:space="preserve"> в стоимостном выражении;</w:t>
      </w:r>
    </w:p>
    <w:p w:rsidR="00B550FD" w:rsidRPr="00802CBD" w:rsidRDefault="00B550FD" w:rsidP="00F87C95">
      <w:pPr>
        <w:spacing w:after="0" w:line="360" w:lineRule="auto"/>
        <w:ind w:firstLine="720"/>
        <w:jc w:val="both"/>
        <w:rPr>
          <w:rFonts w:eastAsia="Times New Roman" w:cs="Times New Roman"/>
          <w:sz w:val="28"/>
          <w:szCs w:val="28"/>
          <w:lang w:eastAsia="ru-RU"/>
        </w:rPr>
      </w:pPr>
      <w:r w:rsidRPr="00802CBD">
        <w:rPr>
          <w:rFonts w:eastAsia="Times New Roman" w:cs="Times New Roman"/>
          <w:sz w:val="28"/>
          <w:szCs w:val="28"/>
          <w:lang w:eastAsia="ru-RU"/>
        </w:rPr>
        <w:t xml:space="preserve">- </w:t>
      </w:r>
      <w:r w:rsidR="00DD04A1" w:rsidRPr="00802CBD">
        <w:rPr>
          <w:rFonts w:eastAsia="Times New Roman" w:cs="Times New Roman"/>
          <w:sz w:val="28"/>
          <w:szCs w:val="28"/>
          <w:lang w:eastAsia="ru-RU"/>
        </w:rPr>
        <w:t>з</w:t>
      </w:r>
      <w:r w:rsidRPr="00802CBD">
        <w:rPr>
          <w:rFonts w:eastAsia="Times New Roman" w:cs="Times New Roman"/>
          <w:sz w:val="28"/>
          <w:szCs w:val="28"/>
          <w:lang w:eastAsia="ru-RU"/>
        </w:rPr>
        <w:t xml:space="preserve">апрос котировок в электронной форме </w:t>
      </w:r>
      <w:r w:rsidR="00CC49CD" w:rsidRPr="00802CBD">
        <w:rPr>
          <w:rFonts w:eastAsia="Times New Roman" w:cs="Times New Roman"/>
          <w:sz w:val="28"/>
          <w:szCs w:val="28"/>
          <w:lang w:eastAsia="ru-RU"/>
        </w:rPr>
        <w:t>–</w:t>
      </w:r>
      <w:r w:rsidRPr="00802CBD">
        <w:rPr>
          <w:rFonts w:eastAsia="Times New Roman" w:cs="Times New Roman"/>
          <w:sz w:val="28"/>
          <w:szCs w:val="28"/>
          <w:lang w:eastAsia="ru-RU"/>
        </w:rPr>
        <w:t xml:space="preserve"> </w:t>
      </w:r>
      <w:r w:rsidR="00D01CA7" w:rsidRPr="00802CBD">
        <w:rPr>
          <w:rFonts w:eastAsia="Times New Roman" w:cs="Times New Roman"/>
          <w:b/>
          <w:sz w:val="28"/>
          <w:szCs w:val="28"/>
          <w:lang w:eastAsia="ru-RU"/>
        </w:rPr>
        <w:t xml:space="preserve">13 </w:t>
      </w:r>
      <w:r w:rsidR="00CC49CD" w:rsidRPr="00802CBD">
        <w:rPr>
          <w:rFonts w:eastAsia="Times New Roman" w:cs="Times New Roman"/>
          <w:b/>
          <w:sz w:val="28"/>
          <w:szCs w:val="28"/>
          <w:lang w:eastAsia="ru-RU"/>
        </w:rPr>
        <w:t>%</w:t>
      </w:r>
      <w:r w:rsidR="00CC49CD" w:rsidRPr="00802CBD">
        <w:rPr>
          <w:rFonts w:eastAsia="Times New Roman" w:cs="Times New Roman"/>
          <w:sz w:val="28"/>
          <w:szCs w:val="28"/>
          <w:lang w:eastAsia="ru-RU"/>
        </w:rPr>
        <w:t xml:space="preserve"> в количественном и </w:t>
      </w:r>
      <w:r w:rsidR="009C3A71" w:rsidRPr="00802CBD">
        <w:rPr>
          <w:rFonts w:eastAsia="Times New Roman" w:cs="Times New Roman"/>
          <w:b/>
          <w:sz w:val="28"/>
          <w:szCs w:val="28"/>
          <w:lang w:eastAsia="ru-RU"/>
        </w:rPr>
        <w:t>1</w:t>
      </w:r>
      <w:r w:rsidR="00156C5C" w:rsidRPr="00802CBD">
        <w:rPr>
          <w:rFonts w:eastAsia="Times New Roman" w:cs="Times New Roman"/>
          <w:b/>
          <w:sz w:val="28"/>
          <w:szCs w:val="28"/>
          <w:lang w:eastAsia="ru-RU"/>
        </w:rPr>
        <w:t>,3</w:t>
      </w:r>
      <w:r w:rsidR="009C3A71" w:rsidRPr="00802CBD">
        <w:rPr>
          <w:rFonts w:eastAsia="Times New Roman" w:cs="Times New Roman"/>
          <w:b/>
          <w:sz w:val="28"/>
          <w:szCs w:val="28"/>
          <w:lang w:eastAsia="ru-RU"/>
        </w:rPr>
        <w:t xml:space="preserve"> </w:t>
      </w:r>
      <w:r w:rsidR="00CC49CD" w:rsidRPr="00802CBD">
        <w:rPr>
          <w:rFonts w:eastAsia="Times New Roman" w:cs="Times New Roman"/>
          <w:b/>
          <w:sz w:val="28"/>
          <w:szCs w:val="28"/>
          <w:lang w:eastAsia="ru-RU"/>
        </w:rPr>
        <w:t>%</w:t>
      </w:r>
      <w:r w:rsidR="00CC49CD" w:rsidRPr="00802CBD">
        <w:rPr>
          <w:rFonts w:eastAsia="Times New Roman" w:cs="Times New Roman"/>
          <w:sz w:val="28"/>
          <w:szCs w:val="28"/>
          <w:lang w:eastAsia="ru-RU"/>
        </w:rPr>
        <w:t xml:space="preserve"> стоимостном выражении.</w:t>
      </w:r>
    </w:p>
    <w:p w:rsidR="00A36944" w:rsidRDefault="00744301" w:rsidP="00F87C95">
      <w:pPr>
        <w:spacing w:after="0" w:line="360" w:lineRule="auto"/>
        <w:ind w:firstLine="720"/>
        <w:jc w:val="both"/>
        <w:rPr>
          <w:rFonts w:eastAsia="Times New Roman" w:cs="Times New Roman"/>
          <w:sz w:val="28"/>
          <w:szCs w:val="28"/>
          <w:lang w:eastAsia="ru-RU"/>
        </w:rPr>
      </w:pPr>
      <w:r>
        <w:rPr>
          <w:rFonts w:eastAsia="Times New Roman" w:cs="Times New Roman"/>
          <w:sz w:val="28"/>
          <w:szCs w:val="28"/>
          <w:lang w:eastAsia="ru-RU"/>
        </w:rPr>
        <w:t xml:space="preserve"> Способом открытого конкурса в электронной форме раз</w:t>
      </w:r>
      <w:r w:rsidR="003D3CDD">
        <w:rPr>
          <w:rFonts w:eastAsia="Times New Roman" w:cs="Times New Roman"/>
          <w:sz w:val="28"/>
          <w:szCs w:val="28"/>
          <w:lang w:eastAsia="ru-RU"/>
        </w:rPr>
        <w:t>мещены 4 извещения Муниципального казенного учреждения</w:t>
      </w:r>
      <w:r>
        <w:rPr>
          <w:rFonts w:eastAsia="Times New Roman" w:cs="Times New Roman"/>
          <w:sz w:val="28"/>
          <w:szCs w:val="28"/>
          <w:lang w:eastAsia="ru-RU"/>
        </w:rPr>
        <w:t xml:space="preserve"> </w:t>
      </w:r>
      <w:r w:rsidRPr="00744301">
        <w:rPr>
          <w:rFonts w:eastAsia="Times New Roman" w:cs="Times New Roman"/>
          <w:sz w:val="28"/>
          <w:szCs w:val="28"/>
          <w:lang w:eastAsia="ru-RU"/>
        </w:rPr>
        <w:t>"</w:t>
      </w:r>
      <w:r>
        <w:rPr>
          <w:rFonts w:eastAsia="Times New Roman" w:cs="Times New Roman"/>
          <w:sz w:val="28"/>
          <w:szCs w:val="28"/>
          <w:lang w:eastAsia="ru-RU"/>
        </w:rPr>
        <w:t>Управление капитального строительства и жилищно-коммунального хозя</w:t>
      </w:r>
      <w:r w:rsidR="00417B5D">
        <w:rPr>
          <w:rFonts w:eastAsia="Times New Roman" w:cs="Times New Roman"/>
          <w:sz w:val="28"/>
          <w:szCs w:val="28"/>
          <w:lang w:eastAsia="ru-RU"/>
        </w:rPr>
        <w:t>йства городского округа Верхняя</w:t>
      </w:r>
      <w:r w:rsidRPr="00744301">
        <w:rPr>
          <w:rFonts w:eastAsia="Times New Roman" w:cs="Times New Roman"/>
          <w:sz w:val="28"/>
          <w:szCs w:val="28"/>
          <w:lang w:eastAsia="ru-RU"/>
        </w:rPr>
        <w:t>"</w:t>
      </w:r>
      <w:r w:rsidR="00417B5D">
        <w:rPr>
          <w:rFonts w:eastAsia="Times New Roman" w:cs="Times New Roman"/>
          <w:sz w:val="28"/>
          <w:szCs w:val="28"/>
          <w:lang w:eastAsia="ru-RU"/>
        </w:rPr>
        <w:t>. По итогам определения поставщика (подрядчика, исполнителя) заключено 3 контракта</w:t>
      </w:r>
      <w:r w:rsidR="0020793D">
        <w:rPr>
          <w:rFonts w:eastAsia="Times New Roman" w:cs="Times New Roman"/>
          <w:sz w:val="28"/>
          <w:szCs w:val="28"/>
          <w:lang w:eastAsia="ru-RU"/>
        </w:rPr>
        <w:t>.</w:t>
      </w:r>
    </w:p>
    <w:p w:rsidR="00B04954" w:rsidRDefault="00B04954" w:rsidP="00F87C95">
      <w:pPr>
        <w:spacing w:after="0" w:line="360" w:lineRule="auto"/>
        <w:ind w:firstLine="720"/>
        <w:jc w:val="both"/>
        <w:rPr>
          <w:rFonts w:eastAsia="Times New Roman" w:cs="Times New Roman"/>
          <w:sz w:val="28"/>
          <w:szCs w:val="28"/>
          <w:lang w:eastAsia="ru-RU"/>
        </w:rPr>
      </w:pPr>
    </w:p>
    <w:p w:rsidR="00A36944" w:rsidRDefault="00B04954" w:rsidP="00A023DC">
      <w:pPr>
        <w:spacing w:after="0" w:line="360" w:lineRule="auto"/>
        <w:ind w:firstLine="720"/>
        <w:jc w:val="both"/>
        <w:rPr>
          <w:rFonts w:eastAsia="Times New Roman" w:cs="Times New Roman"/>
          <w:i/>
          <w:sz w:val="28"/>
          <w:szCs w:val="28"/>
          <w:lang w:eastAsia="ru-RU"/>
        </w:rPr>
      </w:pPr>
      <w:r w:rsidRPr="002F0762">
        <w:rPr>
          <w:rFonts w:eastAsia="Times New Roman" w:cs="Times New Roman"/>
          <w:i/>
          <w:sz w:val="28"/>
          <w:szCs w:val="28"/>
          <w:lang w:eastAsia="ru-RU"/>
        </w:rPr>
        <w:t>Кроме закупок указанными способами администрацией городского округа Верхняя Пышма проведено 7 закупок у единственного поставщика без извещения.</w:t>
      </w:r>
      <w:r w:rsidR="00902CAF" w:rsidRPr="002F0762">
        <w:rPr>
          <w:rFonts w:eastAsia="Times New Roman" w:cs="Times New Roman"/>
          <w:i/>
          <w:sz w:val="28"/>
          <w:szCs w:val="28"/>
          <w:lang w:eastAsia="ru-RU"/>
        </w:rPr>
        <w:t xml:space="preserve"> Контракты заключены – 6 контрактов  находятся на стадии исполнения, исполнение 1 контракта завершено.</w:t>
      </w:r>
    </w:p>
    <w:p w:rsidR="00A023DC" w:rsidRPr="00A023DC" w:rsidRDefault="00A023DC" w:rsidP="00A023DC">
      <w:pPr>
        <w:spacing w:after="0" w:line="360" w:lineRule="auto"/>
        <w:ind w:firstLine="720"/>
        <w:jc w:val="both"/>
        <w:rPr>
          <w:rFonts w:eastAsia="Times New Roman" w:cs="Times New Roman"/>
          <w:i/>
          <w:sz w:val="28"/>
          <w:szCs w:val="28"/>
          <w:lang w:eastAsia="ru-RU"/>
        </w:rPr>
      </w:pPr>
    </w:p>
    <w:p w:rsidR="005D22E5" w:rsidRDefault="005D22E5" w:rsidP="005D22E5">
      <w:pPr>
        <w:spacing w:after="0" w:line="240" w:lineRule="auto"/>
        <w:rPr>
          <w:rFonts w:eastAsia="Times New Roman" w:cs="Times New Roman"/>
          <w:color w:val="00B050"/>
          <w:sz w:val="28"/>
          <w:szCs w:val="28"/>
          <w:lang w:eastAsia="ru-RU"/>
        </w:rPr>
      </w:pPr>
    </w:p>
    <w:p w:rsidR="00A36944" w:rsidRDefault="00A36944" w:rsidP="00A36944">
      <w:pPr>
        <w:spacing w:after="0" w:line="240" w:lineRule="auto"/>
        <w:jc w:val="right"/>
        <w:rPr>
          <w:rFonts w:eastAsia="Times New Roman" w:cs="Times New Roman"/>
          <w:b/>
          <w:sz w:val="28"/>
          <w:szCs w:val="28"/>
          <w:lang w:eastAsia="ru-RU"/>
        </w:rPr>
      </w:pPr>
      <w:r w:rsidRPr="00A36944">
        <w:rPr>
          <w:rFonts w:eastAsia="Times New Roman" w:cs="Times New Roman"/>
          <w:b/>
          <w:sz w:val="28"/>
          <w:szCs w:val="28"/>
          <w:lang w:eastAsia="ru-RU"/>
        </w:rPr>
        <w:lastRenderedPageBreak/>
        <w:t>Диаграмма 3</w:t>
      </w:r>
    </w:p>
    <w:p w:rsidR="00A36944" w:rsidRDefault="00A36944" w:rsidP="00A36944">
      <w:pPr>
        <w:spacing w:after="0" w:line="240" w:lineRule="auto"/>
        <w:jc w:val="right"/>
        <w:rPr>
          <w:rFonts w:eastAsia="Times New Roman" w:cs="Times New Roman"/>
          <w:b/>
          <w:sz w:val="28"/>
          <w:szCs w:val="28"/>
          <w:lang w:eastAsia="ru-RU"/>
        </w:rPr>
      </w:pPr>
    </w:p>
    <w:p w:rsidR="00111DD6" w:rsidRDefault="00111DD6" w:rsidP="00111DD6">
      <w:pPr>
        <w:spacing w:after="0" w:line="240" w:lineRule="auto"/>
        <w:jc w:val="center"/>
        <w:rPr>
          <w:rFonts w:eastAsia="Times New Roman" w:cs="Times New Roman"/>
          <w:color w:val="00B050"/>
          <w:sz w:val="28"/>
          <w:szCs w:val="28"/>
          <w:lang w:eastAsia="ru-RU"/>
        </w:rPr>
      </w:pPr>
    </w:p>
    <w:p w:rsidR="00111DD6" w:rsidRDefault="00E358D6" w:rsidP="00111DD6">
      <w:pPr>
        <w:spacing w:after="0" w:line="240" w:lineRule="auto"/>
        <w:jc w:val="center"/>
        <w:rPr>
          <w:rFonts w:eastAsia="Times New Roman" w:cs="Times New Roman"/>
          <w:color w:val="00B050"/>
          <w:sz w:val="28"/>
          <w:szCs w:val="28"/>
          <w:lang w:eastAsia="ru-RU"/>
        </w:rPr>
      </w:pPr>
      <w:r>
        <w:rPr>
          <w:noProof/>
          <w:lang w:eastAsia="ru-RU"/>
        </w:rPr>
        <w:drawing>
          <wp:inline distT="0" distB="0" distL="0" distR="0" wp14:anchorId="6C4D3B04" wp14:editId="04C874C0">
            <wp:extent cx="4572000" cy="29718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1CD0" w:rsidRDefault="00801CD0" w:rsidP="00111DD6">
      <w:pPr>
        <w:spacing w:after="0" w:line="240" w:lineRule="auto"/>
        <w:jc w:val="center"/>
        <w:rPr>
          <w:rFonts w:eastAsia="Times New Roman" w:cs="Times New Roman"/>
          <w:color w:val="00B050"/>
          <w:sz w:val="28"/>
          <w:szCs w:val="28"/>
          <w:lang w:eastAsia="ru-RU"/>
        </w:rPr>
      </w:pPr>
    </w:p>
    <w:p w:rsidR="001E0D78" w:rsidRDefault="001E0D78" w:rsidP="00111DD6">
      <w:pPr>
        <w:spacing w:after="0" w:line="240" w:lineRule="auto"/>
        <w:jc w:val="center"/>
        <w:rPr>
          <w:rFonts w:eastAsia="Times New Roman" w:cs="Times New Roman"/>
          <w:color w:val="00B050"/>
          <w:sz w:val="28"/>
          <w:szCs w:val="28"/>
          <w:lang w:eastAsia="ru-RU"/>
        </w:rPr>
      </w:pPr>
    </w:p>
    <w:p w:rsidR="00801CD0" w:rsidRDefault="00801CD0" w:rsidP="00111DD6">
      <w:pPr>
        <w:spacing w:after="0" w:line="240" w:lineRule="auto"/>
        <w:jc w:val="center"/>
        <w:rPr>
          <w:rFonts w:eastAsia="Times New Roman" w:cs="Times New Roman"/>
          <w:color w:val="00B050"/>
          <w:sz w:val="28"/>
          <w:szCs w:val="28"/>
          <w:lang w:eastAsia="ru-RU"/>
        </w:rPr>
      </w:pPr>
    </w:p>
    <w:p w:rsidR="009A1A91" w:rsidRPr="00A93F1B" w:rsidRDefault="00E440AE" w:rsidP="00111DD6">
      <w:pPr>
        <w:spacing w:after="0" w:line="240" w:lineRule="auto"/>
        <w:jc w:val="center"/>
        <w:rPr>
          <w:rFonts w:eastAsia="Times New Roman" w:cs="Times New Roman"/>
          <w:sz w:val="28"/>
          <w:szCs w:val="28"/>
          <w:lang w:eastAsia="ru-RU"/>
        </w:rPr>
      </w:pPr>
      <w:r w:rsidRPr="00A93F1B">
        <w:rPr>
          <w:rFonts w:eastAsia="Times New Roman" w:cs="Times New Roman"/>
          <w:b/>
          <w:sz w:val="28"/>
          <w:szCs w:val="28"/>
          <w:lang w:eastAsia="ru-RU"/>
        </w:rPr>
        <w:t>3</w:t>
      </w:r>
      <w:r w:rsidR="009A1A91" w:rsidRPr="00A93F1B">
        <w:rPr>
          <w:rFonts w:eastAsia="Times New Roman" w:cs="Times New Roman"/>
          <w:b/>
          <w:sz w:val="28"/>
          <w:szCs w:val="28"/>
          <w:lang w:eastAsia="ru-RU"/>
        </w:rPr>
        <w:t xml:space="preserve">. </w:t>
      </w:r>
      <w:r w:rsidR="00BA48B2" w:rsidRPr="00A93F1B">
        <w:rPr>
          <w:rFonts w:eastAsia="Times New Roman" w:cs="Times New Roman"/>
          <w:b/>
          <w:sz w:val="28"/>
          <w:szCs w:val="28"/>
          <w:lang w:eastAsia="ru-RU"/>
        </w:rPr>
        <w:t>ИНФОРМАЦИЯ О КОЛИЧЕСТВЕ ПОДАННЫХ ЗАЯВОК</w:t>
      </w:r>
    </w:p>
    <w:p w:rsidR="009A1A91" w:rsidRPr="00A93F1B" w:rsidRDefault="009A1A91" w:rsidP="009A1A91">
      <w:pPr>
        <w:spacing w:after="0" w:line="240" w:lineRule="auto"/>
        <w:ind w:left="720"/>
        <w:jc w:val="center"/>
        <w:rPr>
          <w:rFonts w:eastAsia="Times New Roman" w:cs="Times New Roman"/>
          <w:b/>
          <w:sz w:val="28"/>
          <w:szCs w:val="28"/>
          <w:lang w:eastAsia="ru-RU"/>
        </w:rPr>
      </w:pPr>
    </w:p>
    <w:p w:rsidR="009A1A91" w:rsidRDefault="009A1A91" w:rsidP="0044778A">
      <w:pPr>
        <w:spacing w:after="0" w:line="360" w:lineRule="auto"/>
        <w:ind w:firstLine="720"/>
        <w:jc w:val="both"/>
        <w:rPr>
          <w:rFonts w:eastAsia="Times New Roman" w:cs="Times New Roman"/>
          <w:sz w:val="28"/>
          <w:szCs w:val="28"/>
          <w:lang w:eastAsia="ru-RU"/>
        </w:rPr>
      </w:pPr>
      <w:r w:rsidRPr="00A93F1B">
        <w:rPr>
          <w:rFonts w:eastAsia="Times New Roman" w:cs="Times New Roman"/>
          <w:sz w:val="28"/>
          <w:szCs w:val="28"/>
          <w:lang w:eastAsia="ru-RU"/>
        </w:rPr>
        <w:t>Количество поданных заявок за отчетный период</w:t>
      </w:r>
      <w:r w:rsidR="002968E7" w:rsidRPr="00A93F1B">
        <w:rPr>
          <w:rFonts w:eastAsia="Times New Roman" w:cs="Times New Roman"/>
          <w:sz w:val="28"/>
          <w:szCs w:val="28"/>
          <w:lang w:eastAsia="ru-RU"/>
        </w:rPr>
        <w:t xml:space="preserve"> в </w:t>
      </w:r>
      <w:r w:rsidR="0023573D" w:rsidRPr="00A93F1B">
        <w:rPr>
          <w:rFonts w:eastAsia="Times New Roman" w:cs="Times New Roman"/>
          <w:sz w:val="28"/>
          <w:szCs w:val="28"/>
          <w:lang w:eastAsia="ru-RU"/>
        </w:rPr>
        <w:t>169</w:t>
      </w:r>
      <w:r w:rsidR="001972F9" w:rsidRPr="00A93F1B">
        <w:rPr>
          <w:rFonts w:eastAsia="Times New Roman" w:cs="Times New Roman"/>
          <w:sz w:val="28"/>
          <w:szCs w:val="28"/>
          <w:lang w:eastAsia="ru-RU"/>
        </w:rPr>
        <w:t xml:space="preserve"> проведенных процедурах </w:t>
      </w:r>
      <w:r w:rsidRPr="00A93F1B">
        <w:rPr>
          <w:rFonts w:eastAsia="Times New Roman" w:cs="Times New Roman"/>
          <w:sz w:val="28"/>
          <w:szCs w:val="28"/>
          <w:lang w:eastAsia="ru-RU"/>
        </w:rPr>
        <w:t xml:space="preserve">составило – </w:t>
      </w:r>
      <w:r w:rsidR="00B00CB3" w:rsidRPr="00A93F1B">
        <w:rPr>
          <w:rFonts w:eastAsia="Times New Roman" w:cs="Times New Roman"/>
          <w:b/>
          <w:sz w:val="28"/>
          <w:szCs w:val="28"/>
          <w:lang w:eastAsia="ru-RU"/>
        </w:rPr>
        <w:t>47</w:t>
      </w:r>
      <w:r w:rsidR="0023573D" w:rsidRPr="00A93F1B">
        <w:rPr>
          <w:rFonts w:eastAsia="Times New Roman" w:cs="Times New Roman"/>
          <w:b/>
          <w:sz w:val="28"/>
          <w:szCs w:val="28"/>
          <w:lang w:eastAsia="ru-RU"/>
        </w:rPr>
        <w:t>3</w:t>
      </w:r>
      <w:r w:rsidRPr="00A93F1B">
        <w:rPr>
          <w:rFonts w:eastAsia="Times New Roman" w:cs="Times New Roman"/>
          <w:sz w:val="28"/>
          <w:szCs w:val="28"/>
          <w:lang w:eastAsia="ru-RU"/>
        </w:rPr>
        <w:t xml:space="preserve"> шт. из них допущено </w:t>
      </w:r>
      <w:r w:rsidR="0023573D" w:rsidRPr="00A93F1B">
        <w:rPr>
          <w:rFonts w:eastAsia="Times New Roman" w:cs="Times New Roman"/>
          <w:b/>
          <w:sz w:val="28"/>
          <w:szCs w:val="28"/>
          <w:lang w:eastAsia="ru-RU"/>
        </w:rPr>
        <w:t>384</w:t>
      </w:r>
      <w:r w:rsidRPr="00A93F1B">
        <w:rPr>
          <w:rFonts w:eastAsia="Times New Roman" w:cs="Times New Roman"/>
          <w:sz w:val="28"/>
          <w:szCs w:val="28"/>
          <w:lang w:eastAsia="ru-RU"/>
        </w:rPr>
        <w:t xml:space="preserve"> шт., всего отклонено заявок – </w:t>
      </w:r>
      <w:r w:rsidR="00872BD5" w:rsidRPr="00A93F1B">
        <w:rPr>
          <w:rFonts w:eastAsia="Times New Roman" w:cs="Times New Roman"/>
          <w:b/>
          <w:sz w:val="28"/>
          <w:szCs w:val="28"/>
          <w:lang w:eastAsia="ru-RU"/>
        </w:rPr>
        <w:t>8</w:t>
      </w:r>
      <w:r w:rsidR="0022554D" w:rsidRPr="00A93F1B">
        <w:rPr>
          <w:rFonts w:eastAsia="Times New Roman" w:cs="Times New Roman"/>
          <w:b/>
          <w:sz w:val="28"/>
          <w:szCs w:val="28"/>
          <w:lang w:eastAsia="ru-RU"/>
        </w:rPr>
        <w:t>9</w:t>
      </w:r>
      <w:r w:rsidRPr="00A93F1B">
        <w:rPr>
          <w:rFonts w:eastAsia="Times New Roman" w:cs="Times New Roman"/>
          <w:sz w:val="28"/>
          <w:szCs w:val="28"/>
          <w:lang w:eastAsia="ru-RU"/>
        </w:rPr>
        <w:t xml:space="preserve"> шт.</w:t>
      </w:r>
      <w:r w:rsidR="003D73B4" w:rsidRPr="00A93F1B">
        <w:rPr>
          <w:rFonts w:eastAsia="Times New Roman" w:cs="Times New Roman"/>
          <w:sz w:val="28"/>
          <w:szCs w:val="28"/>
          <w:lang w:eastAsia="ru-RU"/>
        </w:rPr>
        <w:t xml:space="preserve"> или </w:t>
      </w:r>
      <w:r w:rsidR="00872BD5" w:rsidRPr="00A93F1B">
        <w:rPr>
          <w:rFonts w:eastAsia="Times New Roman" w:cs="Times New Roman"/>
          <w:b/>
          <w:sz w:val="28"/>
          <w:szCs w:val="28"/>
          <w:lang w:eastAsia="ru-RU"/>
        </w:rPr>
        <w:t>18</w:t>
      </w:r>
      <w:r w:rsidR="00006784" w:rsidRPr="00A93F1B">
        <w:rPr>
          <w:rFonts w:eastAsia="Times New Roman" w:cs="Times New Roman"/>
          <w:b/>
          <w:sz w:val="28"/>
          <w:szCs w:val="28"/>
          <w:lang w:eastAsia="ru-RU"/>
        </w:rPr>
        <w:t>,</w:t>
      </w:r>
      <w:r w:rsidR="00872BD5" w:rsidRPr="00A93F1B">
        <w:rPr>
          <w:rFonts w:eastAsia="Times New Roman" w:cs="Times New Roman"/>
          <w:b/>
          <w:sz w:val="28"/>
          <w:szCs w:val="28"/>
          <w:lang w:eastAsia="ru-RU"/>
        </w:rPr>
        <w:t>8</w:t>
      </w:r>
      <w:r w:rsidR="003D73B4" w:rsidRPr="00A93F1B">
        <w:rPr>
          <w:rFonts w:eastAsia="Times New Roman" w:cs="Times New Roman"/>
          <w:b/>
          <w:sz w:val="28"/>
          <w:szCs w:val="28"/>
          <w:lang w:eastAsia="ru-RU"/>
        </w:rPr>
        <w:t xml:space="preserve"> % </w:t>
      </w:r>
      <w:r w:rsidR="003D73B4" w:rsidRPr="00A93F1B">
        <w:rPr>
          <w:rFonts w:eastAsia="Times New Roman" w:cs="Times New Roman"/>
          <w:sz w:val="28"/>
          <w:szCs w:val="28"/>
          <w:lang w:eastAsia="ru-RU"/>
        </w:rPr>
        <w:t>от общего числа поданных заявок.</w:t>
      </w:r>
      <w:r w:rsidR="00846490">
        <w:rPr>
          <w:rFonts w:eastAsia="Times New Roman" w:cs="Times New Roman"/>
          <w:sz w:val="28"/>
          <w:szCs w:val="28"/>
          <w:lang w:eastAsia="ru-RU"/>
        </w:rPr>
        <w:t xml:space="preserve"> Количество участников закупки, снизивших НМЦК на 25 % и более </w:t>
      </w:r>
      <w:r w:rsidR="00846490" w:rsidRPr="00846490">
        <w:rPr>
          <w:rFonts w:eastAsia="Times New Roman" w:cs="Times New Roman"/>
          <w:b/>
          <w:sz w:val="28"/>
          <w:szCs w:val="28"/>
          <w:lang w:eastAsia="ru-RU"/>
        </w:rPr>
        <w:t>105</w:t>
      </w:r>
      <w:r w:rsidR="00846490">
        <w:rPr>
          <w:rFonts w:eastAsia="Times New Roman" w:cs="Times New Roman"/>
          <w:sz w:val="28"/>
          <w:szCs w:val="28"/>
          <w:lang w:eastAsia="ru-RU"/>
        </w:rPr>
        <w:t xml:space="preserve"> шт.</w:t>
      </w:r>
    </w:p>
    <w:p w:rsidR="0071280C" w:rsidRPr="00E92536" w:rsidRDefault="0071280C" w:rsidP="0044778A">
      <w:pPr>
        <w:spacing w:after="0" w:line="360" w:lineRule="auto"/>
        <w:ind w:firstLine="720"/>
        <w:jc w:val="both"/>
        <w:rPr>
          <w:rFonts w:eastAsia="Times New Roman" w:cs="Times New Roman"/>
          <w:sz w:val="28"/>
          <w:szCs w:val="28"/>
          <w:lang w:eastAsia="ru-RU"/>
        </w:rPr>
      </w:pPr>
      <w:r w:rsidRPr="00E92536">
        <w:rPr>
          <w:rFonts w:eastAsia="Times New Roman" w:cs="Times New Roman"/>
          <w:sz w:val="28"/>
          <w:szCs w:val="28"/>
          <w:lang w:eastAsia="ru-RU"/>
        </w:rPr>
        <w:t xml:space="preserve">О заинтересованности  в торгах потенциальных поставщиков свидетельствует коэффициент участия (среднее  количество поданных заявок участников закупок), который за </w:t>
      </w:r>
      <w:r w:rsidR="008958E9">
        <w:rPr>
          <w:rFonts w:eastAsia="Times New Roman" w:cs="Times New Roman"/>
          <w:sz w:val="28"/>
          <w:szCs w:val="28"/>
          <w:lang w:eastAsia="ru-RU"/>
        </w:rPr>
        <w:t>2 квартал</w:t>
      </w:r>
      <w:r w:rsidRPr="00E92536">
        <w:rPr>
          <w:rFonts w:eastAsia="Times New Roman" w:cs="Times New Roman"/>
          <w:sz w:val="28"/>
          <w:szCs w:val="28"/>
          <w:lang w:eastAsia="ru-RU"/>
        </w:rPr>
        <w:t xml:space="preserve"> 2024 года  составил  2,8</w:t>
      </w:r>
      <w:r w:rsidR="00632CCB" w:rsidRPr="00E92536">
        <w:rPr>
          <w:rFonts w:eastAsia="Times New Roman" w:cs="Times New Roman"/>
          <w:sz w:val="28"/>
          <w:szCs w:val="28"/>
          <w:lang w:eastAsia="ru-RU"/>
        </w:rPr>
        <w:t xml:space="preserve"> </w:t>
      </w:r>
      <w:r w:rsidR="004E4326" w:rsidRPr="00E92536">
        <w:rPr>
          <w:rFonts w:eastAsia="Times New Roman" w:cs="Times New Roman"/>
          <w:sz w:val="28"/>
          <w:szCs w:val="28"/>
          <w:lang w:eastAsia="ru-RU"/>
        </w:rPr>
        <w:t>шт.</w:t>
      </w:r>
      <w:r w:rsidRPr="00E92536">
        <w:rPr>
          <w:rFonts w:eastAsia="Times New Roman" w:cs="Times New Roman"/>
          <w:sz w:val="28"/>
          <w:szCs w:val="28"/>
          <w:lang w:eastAsia="ru-RU"/>
        </w:rPr>
        <w:t xml:space="preserve"> на каждую объявленную процедуру.</w:t>
      </w:r>
    </w:p>
    <w:p w:rsidR="00E020FE" w:rsidRPr="00E92536" w:rsidRDefault="00E020FE" w:rsidP="0044778A">
      <w:pPr>
        <w:spacing w:after="0" w:line="360" w:lineRule="auto"/>
        <w:ind w:firstLine="720"/>
        <w:jc w:val="both"/>
        <w:rPr>
          <w:rFonts w:eastAsia="Times New Roman" w:cs="Times New Roman"/>
          <w:sz w:val="28"/>
          <w:szCs w:val="28"/>
          <w:lang w:eastAsia="ru-RU"/>
        </w:rPr>
      </w:pPr>
      <w:r w:rsidRPr="00E92536">
        <w:rPr>
          <w:rFonts w:eastAsia="Times New Roman" w:cs="Times New Roman"/>
          <w:sz w:val="28"/>
          <w:szCs w:val="28"/>
          <w:lang w:eastAsia="ru-RU"/>
        </w:rPr>
        <w:t xml:space="preserve">Среднее количество допущенных заявок </w:t>
      </w:r>
      <w:r w:rsidR="007B41DE" w:rsidRPr="00E92536">
        <w:rPr>
          <w:rFonts w:eastAsia="Times New Roman" w:cs="Times New Roman"/>
          <w:sz w:val="28"/>
          <w:szCs w:val="28"/>
          <w:lang w:eastAsia="ru-RU"/>
        </w:rPr>
        <w:t>– 2,3</w:t>
      </w:r>
      <w:r w:rsidR="00CF3E95" w:rsidRPr="00E92536">
        <w:rPr>
          <w:rFonts w:eastAsia="Times New Roman" w:cs="Times New Roman"/>
          <w:sz w:val="28"/>
          <w:szCs w:val="28"/>
          <w:lang w:eastAsia="ru-RU"/>
        </w:rPr>
        <w:t xml:space="preserve"> </w:t>
      </w:r>
      <w:r w:rsidRPr="00E92536">
        <w:rPr>
          <w:rFonts w:eastAsia="Times New Roman" w:cs="Times New Roman"/>
          <w:sz w:val="28"/>
          <w:szCs w:val="28"/>
          <w:lang w:eastAsia="ru-RU"/>
        </w:rPr>
        <w:t xml:space="preserve"> шт.</w:t>
      </w:r>
    </w:p>
    <w:p w:rsidR="00670147" w:rsidRPr="00E92536" w:rsidRDefault="00670147" w:rsidP="0044778A">
      <w:pPr>
        <w:spacing w:after="0" w:line="360" w:lineRule="auto"/>
        <w:ind w:firstLine="720"/>
        <w:jc w:val="both"/>
        <w:rPr>
          <w:rFonts w:eastAsia="Times New Roman" w:cs="Times New Roman"/>
          <w:sz w:val="28"/>
          <w:szCs w:val="28"/>
          <w:lang w:eastAsia="ru-RU"/>
        </w:rPr>
      </w:pPr>
      <w:r w:rsidRPr="00E92536">
        <w:rPr>
          <w:rFonts w:eastAsia="Times New Roman" w:cs="Times New Roman"/>
          <w:sz w:val="28"/>
          <w:szCs w:val="28"/>
          <w:lang w:eastAsia="ru-RU"/>
        </w:rPr>
        <w:t xml:space="preserve">Самый  высокий  уровень  конкуренции  -  поставка сувенирной продукции – </w:t>
      </w:r>
      <w:r w:rsidR="002C4AF4" w:rsidRPr="00E92536">
        <w:rPr>
          <w:rFonts w:eastAsia="Times New Roman" w:cs="Times New Roman"/>
          <w:sz w:val="28"/>
          <w:szCs w:val="28"/>
          <w:lang w:eastAsia="ru-RU"/>
        </w:rPr>
        <w:t>14</w:t>
      </w:r>
      <w:r w:rsidR="000E49D2" w:rsidRPr="00E92536">
        <w:rPr>
          <w:rFonts w:eastAsia="Times New Roman" w:cs="Times New Roman"/>
          <w:sz w:val="28"/>
          <w:szCs w:val="28"/>
          <w:lang w:eastAsia="ru-RU"/>
        </w:rPr>
        <w:t xml:space="preserve"> заявок</w:t>
      </w:r>
      <w:r w:rsidR="004A527B" w:rsidRPr="00E92536">
        <w:rPr>
          <w:rFonts w:eastAsia="Times New Roman" w:cs="Times New Roman"/>
          <w:sz w:val="28"/>
          <w:szCs w:val="28"/>
          <w:lang w:eastAsia="ru-RU"/>
        </w:rPr>
        <w:t xml:space="preserve">, поставка ГСМ – 11 </w:t>
      </w:r>
      <w:r w:rsidR="000E49D2" w:rsidRPr="00E92536">
        <w:rPr>
          <w:rFonts w:eastAsia="Times New Roman" w:cs="Times New Roman"/>
          <w:sz w:val="28"/>
          <w:szCs w:val="28"/>
          <w:lang w:eastAsia="ru-RU"/>
        </w:rPr>
        <w:t>заявок</w:t>
      </w:r>
      <w:r w:rsidR="004A527B" w:rsidRPr="00E92536">
        <w:rPr>
          <w:rFonts w:eastAsia="Times New Roman" w:cs="Times New Roman"/>
          <w:sz w:val="28"/>
          <w:szCs w:val="28"/>
          <w:lang w:eastAsia="ru-RU"/>
        </w:rPr>
        <w:t>.</w:t>
      </w:r>
    </w:p>
    <w:p w:rsidR="00332B8D" w:rsidRDefault="00256D1B" w:rsidP="00332B8D">
      <w:pPr>
        <w:spacing w:after="0" w:line="360" w:lineRule="auto"/>
        <w:ind w:firstLine="720"/>
        <w:jc w:val="both"/>
        <w:rPr>
          <w:rFonts w:eastAsia="Times New Roman" w:cs="Times New Roman"/>
          <w:sz w:val="28"/>
          <w:szCs w:val="28"/>
          <w:lang w:eastAsia="ru-RU"/>
        </w:rPr>
      </w:pPr>
      <w:r w:rsidRPr="00E92536">
        <w:rPr>
          <w:rFonts w:eastAsia="Times New Roman" w:cs="Times New Roman"/>
          <w:sz w:val="28"/>
          <w:szCs w:val="28"/>
          <w:lang w:eastAsia="ru-RU"/>
        </w:rPr>
        <w:t xml:space="preserve">Анализ по итогам проведения процедур за </w:t>
      </w:r>
      <w:r w:rsidR="008958E9">
        <w:rPr>
          <w:rFonts w:eastAsia="Times New Roman" w:cs="Times New Roman"/>
          <w:sz w:val="28"/>
          <w:szCs w:val="28"/>
          <w:lang w:eastAsia="ru-RU"/>
        </w:rPr>
        <w:t>2 квартал</w:t>
      </w:r>
      <w:r w:rsidR="00302F10" w:rsidRPr="00E92536">
        <w:rPr>
          <w:rFonts w:eastAsia="Times New Roman" w:cs="Times New Roman"/>
          <w:sz w:val="28"/>
          <w:szCs w:val="28"/>
          <w:lang w:eastAsia="ru-RU"/>
        </w:rPr>
        <w:t xml:space="preserve"> 2024 года уполномоченным органом</w:t>
      </w:r>
      <w:r w:rsidRPr="00E92536">
        <w:rPr>
          <w:rFonts w:eastAsia="Times New Roman" w:cs="Times New Roman"/>
          <w:sz w:val="28"/>
          <w:szCs w:val="28"/>
          <w:lang w:eastAsia="ru-RU"/>
        </w:rPr>
        <w:t xml:space="preserve"> показал, что</w:t>
      </w:r>
      <w:r w:rsidRPr="00256D1B">
        <w:rPr>
          <w:rFonts w:eastAsia="Times New Roman" w:cs="Times New Roman"/>
          <w:sz w:val="28"/>
          <w:szCs w:val="28"/>
          <w:lang w:eastAsia="ru-RU"/>
        </w:rPr>
        <w:t xml:space="preserve"> во многих случаях </w:t>
      </w:r>
      <w:r w:rsidR="001A0F81">
        <w:rPr>
          <w:rFonts w:eastAsia="Times New Roman" w:cs="Times New Roman"/>
          <w:sz w:val="28"/>
          <w:szCs w:val="28"/>
          <w:lang w:eastAsia="ru-RU"/>
        </w:rPr>
        <w:t xml:space="preserve">победителями </w:t>
      </w:r>
      <w:r w:rsidRPr="00256D1B">
        <w:rPr>
          <w:rFonts w:eastAsia="Times New Roman" w:cs="Times New Roman"/>
          <w:sz w:val="28"/>
          <w:szCs w:val="28"/>
          <w:lang w:eastAsia="ru-RU"/>
        </w:rPr>
        <w:t xml:space="preserve">заключенных контрактов являлись </w:t>
      </w:r>
      <w:r w:rsidR="00C950EA">
        <w:rPr>
          <w:rFonts w:eastAsia="Times New Roman" w:cs="Times New Roman"/>
          <w:sz w:val="28"/>
          <w:szCs w:val="28"/>
          <w:lang w:eastAsia="ru-RU"/>
        </w:rPr>
        <w:t>участники закупок</w:t>
      </w:r>
      <w:r w:rsidRPr="00256D1B">
        <w:rPr>
          <w:rFonts w:eastAsia="Times New Roman" w:cs="Times New Roman"/>
          <w:sz w:val="28"/>
          <w:szCs w:val="28"/>
          <w:lang w:eastAsia="ru-RU"/>
        </w:rPr>
        <w:t>, зарегистрированные на территории С</w:t>
      </w:r>
      <w:r>
        <w:rPr>
          <w:rFonts w:eastAsia="Times New Roman" w:cs="Times New Roman"/>
          <w:sz w:val="28"/>
          <w:szCs w:val="28"/>
          <w:lang w:eastAsia="ru-RU"/>
        </w:rPr>
        <w:t>вердловской области (59,2</w:t>
      </w:r>
      <w:r w:rsidRPr="00256D1B">
        <w:rPr>
          <w:rFonts w:eastAsia="Times New Roman" w:cs="Times New Roman"/>
          <w:sz w:val="28"/>
          <w:szCs w:val="28"/>
          <w:lang w:eastAsia="ru-RU"/>
        </w:rPr>
        <w:t>%).</w:t>
      </w:r>
      <w:r w:rsidR="00711324">
        <w:rPr>
          <w:rFonts w:eastAsia="Times New Roman" w:cs="Times New Roman"/>
          <w:sz w:val="28"/>
          <w:szCs w:val="28"/>
          <w:lang w:eastAsia="ru-RU"/>
        </w:rPr>
        <w:t xml:space="preserve"> Также участниками закупок являлись представители г. Москвы, </w:t>
      </w:r>
      <w:r w:rsidR="00FE65B5">
        <w:rPr>
          <w:rFonts w:eastAsia="Times New Roman" w:cs="Times New Roman"/>
          <w:sz w:val="28"/>
          <w:szCs w:val="28"/>
          <w:lang w:eastAsia="ru-RU"/>
        </w:rPr>
        <w:t xml:space="preserve">г. </w:t>
      </w:r>
      <w:r w:rsidR="00711324">
        <w:rPr>
          <w:rFonts w:eastAsia="Times New Roman" w:cs="Times New Roman"/>
          <w:sz w:val="28"/>
          <w:szCs w:val="28"/>
          <w:lang w:eastAsia="ru-RU"/>
        </w:rPr>
        <w:t>Санкт-Петербурга,  Пермского края, Челябинской области</w:t>
      </w:r>
      <w:r w:rsidR="00F70DB0">
        <w:rPr>
          <w:rFonts w:eastAsia="Times New Roman" w:cs="Times New Roman"/>
          <w:sz w:val="28"/>
          <w:szCs w:val="28"/>
          <w:lang w:eastAsia="ru-RU"/>
        </w:rPr>
        <w:t xml:space="preserve"> </w:t>
      </w:r>
      <w:r w:rsidR="00711324">
        <w:rPr>
          <w:rFonts w:eastAsia="Times New Roman" w:cs="Times New Roman"/>
          <w:sz w:val="28"/>
          <w:szCs w:val="28"/>
          <w:lang w:eastAsia="ru-RU"/>
        </w:rPr>
        <w:t>и других областей.</w:t>
      </w:r>
    </w:p>
    <w:p w:rsidR="00314BB1" w:rsidRPr="00B014EA" w:rsidRDefault="003D12A3" w:rsidP="00B014EA">
      <w:pPr>
        <w:spacing w:after="0" w:line="360" w:lineRule="auto"/>
        <w:ind w:firstLine="720"/>
        <w:jc w:val="both"/>
        <w:rPr>
          <w:rFonts w:eastAsia="Times New Roman" w:cs="Times New Roman"/>
          <w:sz w:val="28"/>
          <w:szCs w:val="28"/>
          <w:lang w:eastAsia="ru-RU"/>
        </w:rPr>
      </w:pPr>
      <w:r w:rsidRPr="00A93F1B">
        <w:rPr>
          <w:rFonts w:eastAsia="Times New Roman" w:cs="Times New Roman"/>
          <w:sz w:val="28"/>
          <w:szCs w:val="28"/>
          <w:lang w:eastAsia="ru-RU"/>
        </w:rPr>
        <w:t xml:space="preserve">Информация о количестве поданных заявок представлена на диаграмме </w:t>
      </w:r>
      <w:r w:rsidR="000C45E3" w:rsidRPr="00A93F1B">
        <w:rPr>
          <w:rFonts w:eastAsia="Times New Roman" w:cs="Times New Roman"/>
          <w:sz w:val="28"/>
          <w:szCs w:val="28"/>
          <w:lang w:eastAsia="ru-RU"/>
        </w:rPr>
        <w:t>№</w:t>
      </w:r>
      <w:r w:rsidR="00D473D1" w:rsidRPr="00A93F1B">
        <w:rPr>
          <w:rFonts w:eastAsia="Times New Roman" w:cs="Times New Roman"/>
          <w:sz w:val="28"/>
          <w:szCs w:val="28"/>
          <w:lang w:eastAsia="ru-RU"/>
        </w:rPr>
        <w:t xml:space="preserve"> </w:t>
      </w:r>
      <w:r w:rsidR="00AE72FD">
        <w:rPr>
          <w:rFonts w:eastAsia="Times New Roman" w:cs="Times New Roman"/>
          <w:sz w:val="28"/>
          <w:szCs w:val="28"/>
          <w:lang w:eastAsia="ru-RU"/>
        </w:rPr>
        <w:t>4.</w:t>
      </w:r>
    </w:p>
    <w:p w:rsidR="00314BB1" w:rsidRPr="00314BB1" w:rsidRDefault="00AE72FD" w:rsidP="00314BB1">
      <w:pPr>
        <w:spacing w:after="0" w:line="360" w:lineRule="auto"/>
        <w:jc w:val="right"/>
        <w:rPr>
          <w:rFonts w:eastAsia="Times New Roman" w:cs="Times New Roman"/>
          <w:b/>
          <w:sz w:val="28"/>
          <w:szCs w:val="28"/>
          <w:lang w:eastAsia="ru-RU"/>
        </w:rPr>
      </w:pPr>
      <w:r>
        <w:rPr>
          <w:rFonts w:eastAsia="Times New Roman" w:cs="Times New Roman"/>
          <w:b/>
          <w:sz w:val="28"/>
          <w:szCs w:val="28"/>
          <w:lang w:eastAsia="ru-RU"/>
        </w:rPr>
        <w:lastRenderedPageBreak/>
        <w:t>Диаграмма</w:t>
      </w:r>
      <w:r w:rsidR="00314BB1" w:rsidRPr="00314BB1">
        <w:rPr>
          <w:rFonts w:eastAsia="Times New Roman" w:cs="Times New Roman"/>
          <w:b/>
          <w:sz w:val="28"/>
          <w:szCs w:val="28"/>
          <w:lang w:eastAsia="ru-RU"/>
        </w:rPr>
        <w:t xml:space="preserve"> №4</w:t>
      </w:r>
    </w:p>
    <w:p w:rsidR="00314BB1" w:rsidRDefault="00314BB1" w:rsidP="00D473D1">
      <w:pPr>
        <w:spacing w:after="0" w:line="360" w:lineRule="auto"/>
        <w:ind w:firstLine="720"/>
        <w:jc w:val="both"/>
        <w:rPr>
          <w:rFonts w:eastAsia="Times New Roman" w:cs="Times New Roman"/>
          <w:color w:val="00B050"/>
          <w:sz w:val="28"/>
          <w:szCs w:val="28"/>
          <w:lang w:eastAsia="ru-RU"/>
        </w:rPr>
      </w:pPr>
    </w:p>
    <w:p w:rsidR="0043542E" w:rsidRPr="00916755" w:rsidRDefault="00314BB1" w:rsidP="00031AF7">
      <w:pPr>
        <w:spacing w:after="0" w:line="240" w:lineRule="auto"/>
        <w:jc w:val="center"/>
        <w:rPr>
          <w:rFonts w:eastAsia="Times New Roman" w:cs="Times New Roman"/>
          <w:b/>
          <w:color w:val="00B050"/>
          <w:sz w:val="28"/>
          <w:szCs w:val="28"/>
          <w:lang w:eastAsia="ru-RU"/>
        </w:rPr>
      </w:pPr>
      <w:r>
        <w:rPr>
          <w:noProof/>
          <w:lang w:eastAsia="ru-RU"/>
        </w:rPr>
        <w:drawing>
          <wp:inline distT="0" distB="0" distL="0" distR="0" wp14:anchorId="4BE60216" wp14:editId="3AB0BF04">
            <wp:extent cx="5153025" cy="31146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1A91" w:rsidRDefault="009A1A91" w:rsidP="00A41F27">
      <w:pPr>
        <w:spacing w:after="0" w:line="360" w:lineRule="auto"/>
        <w:rPr>
          <w:rFonts w:eastAsia="Times New Roman" w:cs="Times New Roman"/>
          <w:sz w:val="28"/>
          <w:szCs w:val="28"/>
          <w:lang w:eastAsia="ru-RU"/>
        </w:rPr>
      </w:pPr>
    </w:p>
    <w:p w:rsidR="00797CA9" w:rsidRDefault="00797CA9" w:rsidP="00605E54">
      <w:pPr>
        <w:spacing w:after="0" w:line="240" w:lineRule="auto"/>
        <w:rPr>
          <w:rFonts w:eastAsia="Times New Roman" w:cs="Times New Roman"/>
          <w:b/>
          <w:sz w:val="28"/>
          <w:szCs w:val="28"/>
          <w:lang w:eastAsia="ru-RU"/>
        </w:rPr>
      </w:pPr>
    </w:p>
    <w:p w:rsidR="00190AE8" w:rsidRDefault="00A8092A" w:rsidP="00EB155F">
      <w:pPr>
        <w:spacing w:after="0" w:line="360" w:lineRule="auto"/>
        <w:jc w:val="center"/>
        <w:rPr>
          <w:rFonts w:eastAsia="Times New Roman" w:cs="Times New Roman"/>
          <w:b/>
          <w:sz w:val="28"/>
          <w:szCs w:val="28"/>
          <w:lang w:eastAsia="ru-RU"/>
        </w:rPr>
      </w:pPr>
      <w:r>
        <w:rPr>
          <w:rFonts w:eastAsia="Times New Roman" w:cs="Times New Roman"/>
          <w:b/>
          <w:sz w:val="28"/>
          <w:szCs w:val="28"/>
          <w:lang w:eastAsia="ru-RU"/>
        </w:rPr>
        <w:t>4</w:t>
      </w:r>
      <w:r w:rsidR="00190AE8" w:rsidRPr="00FE7BA3">
        <w:rPr>
          <w:rFonts w:eastAsia="Times New Roman" w:cs="Times New Roman"/>
          <w:b/>
          <w:sz w:val="28"/>
          <w:szCs w:val="28"/>
          <w:lang w:eastAsia="ru-RU"/>
        </w:rPr>
        <w:t xml:space="preserve">. ЗАКУПКИ </w:t>
      </w:r>
      <w:r w:rsidR="003A4238" w:rsidRPr="00FE7BA3">
        <w:rPr>
          <w:rFonts w:eastAsia="Times New Roman" w:cs="Times New Roman"/>
          <w:b/>
          <w:sz w:val="28"/>
          <w:szCs w:val="28"/>
          <w:lang w:eastAsia="ru-RU"/>
        </w:rPr>
        <w:t xml:space="preserve">С ПРЕИМУЩЕСТВОМ ДЛЯ </w:t>
      </w:r>
      <w:r w:rsidR="001211C5" w:rsidRPr="00FE7BA3">
        <w:rPr>
          <w:rFonts w:eastAsia="Times New Roman" w:cs="Times New Roman"/>
          <w:b/>
          <w:sz w:val="28"/>
          <w:szCs w:val="28"/>
          <w:lang w:eastAsia="ru-RU"/>
        </w:rPr>
        <w:t>СУБЪЕКТОВ МАЛОГО ПРЕДПРИНИМАТЕЛЬСТВА, СОЦИАЛЬНО ОРИЕНТИРОВАННЫХ НЕКОМЕРЧЕСКИХ ОРГАНИЗАЦИЙ</w:t>
      </w:r>
    </w:p>
    <w:p w:rsidR="00D5178C" w:rsidRDefault="00D5178C" w:rsidP="00EB155F">
      <w:pPr>
        <w:spacing w:after="0" w:line="360" w:lineRule="auto"/>
        <w:jc w:val="center"/>
        <w:rPr>
          <w:rFonts w:eastAsia="Times New Roman" w:cs="Times New Roman"/>
          <w:b/>
          <w:sz w:val="28"/>
          <w:szCs w:val="28"/>
          <w:lang w:eastAsia="ru-RU"/>
        </w:rPr>
      </w:pPr>
    </w:p>
    <w:p w:rsidR="00A35E86" w:rsidRPr="00CE4C25" w:rsidRDefault="00510015" w:rsidP="00EB155F">
      <w:pPr>
        <w:spacing w:after="0" w:line="360" w:lineRule="auto"/>
        <w:ind w:firstLine="720"/>
        <w:jc w:val="both"/>
        <w:rPr>
          <w:rFonts w:eastAsia="Times New Roman" w:cs="Times New Roman"/>
          <w:b/>
          <w:sz w:val="28"/>
          <w:szCs w:val="28"/>
          <w:lang w:eastAsia="ru-RU"/>
        </w:rPr>
      </w:pPr>
      <w:r w:rsidRPr="00CE4C25">
        <w:rPr>
          <w:rFonts w:eastAsia="Times New Roman" w:cs="Times New Roman"/>
          <w:sz w:val="28"/>
          <w:szCs w:val="28"/>
          <w:lang w:eastAsia="ru-RU"/>
        </w:rPr>
        <w:t xml:space="preserve">За </w:t>
      </w:r>
      <w:r w:rsidR="005B733A">
        <w:rPr>
          <w:rFonts w:eastAsia="Times New Roman" w:cs="Times New Roman"/>
          <w:sz w:val="28"/>
          <w:szCs w:val="28"/>
          <w:lang w:eastAsia="ru-RU"/>
        </w:rPr>
        <w:t>2 квартал</w:t>
      </w:r>
      <w:r w:rsidR="00EE2AB0" w:rsidRPr="00CE4C25">
        <w:rPr>
          <w:rFonts w:eastAsia="Times New Roman" w:cs="Times New Roman"/>
          <w:sz w:val="28"/>
          <w:szCs w:val="28"/>
          <w:lang w:eastAsia="ru-RU"/>
        </w:rPr>
        <w:t xml:space="preserve"> </w:t>
      </w:r>
      <w:r w:rsidR="00674C8C" w:rsidRPr="00CE4C25">
        <w:rPr>
          <w:rFonts w:eastAsia="Times New Roman" w:cs="Times New Roman"/>
          <w:sz w:val="28"/>
          <w:szCs w:val="28"/>
          <w:lang w:eastAsia="ru-RU"/>
        </w:rPr>
        <w:t>2024</w:t>
      </w:r>
      <w:r w:rsidR="00EB155F" w:rsidRPr="00CE4C25">
        <w:rPr>
          <w:rFonts w:eastAsia="Times New Roman" w:cs="Times New Roman"/>
          <w:sz w:val="28"/>
          <w:szCs w:val="28"/>
          <w:lang w:eastAsia="ru-RU"/>
        </w:rPr>
        <w:t xml:space="preserve"> года</w:t>
      </w:r>
      <w:r w:rsidR="00D5178C" w:rsidRPr="00CE4C25">
        <w:rPr>
          <w:rFonts w:eastAsia="Times New Roman" w:cs="Times New Roman"/>
          <w:sz w:val="28"/>
          <w:szCs w:val="28"/>
          <w:lang w:eastAsia="ru-RU"/>
        </w:rPr>
        <w:t xml:space="preserve"> размещено </w:t>
      </w:r>
      <w:r w:rsidR="00674C8C" w:rsidRPr="00CE4C25">
        <w:rPr>
          <w:rFonts w:eastAsia="Times New Roman" w:cs="Times New Roman"/>
          <w:b/>
          <w:sz w:val="28"/>
          <w:szCs w:val="28"/>
          <w:lang w:eastAsia="ru-RU"/>
        </w:rPr>
        <w:t>129</w:t>
      </w:r>
      <w:r w:rsidR="0027608D" w:rsidRPr="00CE4C25">
        <w:rPr>
          <w:rFonts w:eastAsia="Times New Roman" w:cs="Times New Roman"/>
          <w:b/>
          <w:sz w:val="28"/>
          <w:szCs w:val="28"/>
          <w:lang w:eastAsia="ru-RU"/>
        </w:rPr>
        <w:t xml:space="preserve"> </w:t>
      </w:r>
      <w:r w:rsidR="00A35E86" w:rsidRPr="00CE4C25">
        <w:rPr>
          <w:rFonts w:eastAsia="Times New Roman" w:cs="Times New Roman"/>
          <w:sz w:val="28"/>
          <w:szCs w:val="28"/>
          <w:lang w:eastAsia="ru-RU"/>
        </w:rPr>
        <w:t xml:space="preserve">извещений о </w:t>
      </w:r>
      <w:r w:rsidR="00262DDD" w:rsidRPr="00CE4C25">
        <w:rPr>
          <w:rFonts w:eastAsia="Times New Roman" w:cs="Times New Roman"/>
          <w:sz w:val="28"/>
          <w:szCs w:val="28"/>
          <w:lang w:eastAsia="ru-RU"/>
        </w:rPr>
        <w:t>закупках</w:t>
      </w:r>
      <w:r w:rsidR="00ED4718" w:rsidRPr="00CE4C25">
        <w:rPr>
          <w:rFonts w:eastAsia="Times New Roman" w:cs="Times New Roman"/>
          <w:sz w:val="28"/>
          <w:szCs w:val="28"/>
          <w:lang w:eastAsia="ru-RU"/>
        </w:rPr>
        <w:t xml:space="preserve"> участниками, которых могут быть только субъекты малого предпринимательства и социально ориентированные некоммерческие организации (далее – СМП, СОНКО)</w:t>
      </w:r>
      <w:r w:rsidR="00262DDD" w:rsidRPr="00CE4C25">
        <w:rPr>
          <w:rFonts w:eastAsia="Times New Roman" w:cs="Times New Roman"/>
          <w:sz w:val="28"/>
          <w:szCs w:val="28"/>
          <w:lang w:eastAsia="ru-RU"/>
        </w:rPr>
        <w:t>, что составило</w:t>
      </w:r>
      <w:r w:rsidR="006752BB" w:rsidRPr="00CE4C25">
        <w:rPr>
          <w:rFonts w:eastAsia="Times New Roman" w:cs="Times New Roman"/>
          <w:sz w:val="28"/>
          <w:szCs w:val="28"/>
          <w:lang w:eastAsia="ru-RU"/>
        </w:rPr>
        <w:t xml:space="preserve"> 229 940 447,83 руб. или 17,18 % в суммарном отношении</w:t>
      </w:r>
      <w:r w:rsidR="006C62EB" w:rsidRPr="00CE4C25">
        <w:rPr>
          <w:rFonts w:eastAsia="Times New Roman" w:cs="Times New Roman"/>
          <w:sz w:val="28"/>
          <w:szCs w:val="28"/>
          <w:lang w:eastAsia="ru-RU"/>
        </w:rPr>
        <w:t xml:space="preserve"> и </w:t>
      </w:r>
      <w:r w:rsidR="00262DDD" w:rsidRPr="00CE4C25">
        <w:rPr>
          <w:rFonts w:eastAsia="Times New Roman" w:cs="Times New Roman"/>
          <w:sz w:val="28"/>
          <w:szCs w:val="28"/>
          <w:lang w:eastAsia="ru-RU"/>
        </w:rPr>
        <w:t xml:space="preserve"> </w:t>
      </w:r>
      <w:r w:rsidR="00EC0DD7" w:rsidRPr="00CE4C25">
        <w:rPr>
          <w:rFonts w:eastAsia="Times New Roman" w:cs="Times New Roman"/>
          <w:b/>
          <w:sz w:val="28"/>
          <w:szCs w:val="28"/>
          <w:lang w:eastAsia="ru-RU"/>
        </w:rPr>
        <w:t xml:space="preserve">76,33 </w:t>
      </w:r>
      <w:r w:rsidR="00262DDD" w:rsidRPr="00CE4C25">
        <w:rPr>
          <w:rFonts w:eastAsia="Times New Roman" w:cs="Times New Roman"/>
          <w:b/>
          <w:sz w:val="28"/>
          <w:szCs w:val="28"/>
          <w:lang w:eastAsia="ru-RU"/>
        </w:rPr>
        <w:t>%</w:t>
      </w:r>
      <w:r w:rsidR="00262DDD" w:rsidRPr="00CE4C25">
        <w:rPr>
          <w:rFonts w:eastAsia="Times New Roman" w:cs="Times New Roman"/>
          <w:sz w:val="28"/>
          <w:szCs w:val="28"/>
          <w:lang w:eastAsia="ru-RU"/>
        </w:rPr>
        <w:t xml:space="preserve"> от общего количества опубликованных извещений</w:t>
      </w:r>
      <w:r w:rsidR="00BB1322" w:rsidRPr="00CE4C25">
        <w:rPr>
          <w:rFonts w:eastAsia="Times New Roman" w:cs="Times New Roman"/>
          <w:sz w:val="28"/>
          <w:szCs w:val="28"/>
          <w:lang w:eastAsia="ru-RU"/>
        </w:rPr>
        <w:t>.</w:t>
      </w:r>
    </w:p>
    <w:p w:rsidR="00071014" w:rsidRPr="00A93F1B" w:rsidRDefault="002C0E41" w:rsidP="00EB155F">
      <w:pPr>
        <w:spacing w:after="0" w:line="360" w:lineRule="auto"/>
        <w:ind w:firstLine="720"/>
        <w:jc w:val="both"/>
        <w:rPr>
          <w:rFonts w:eastAsia="Times New Roman" w:cs="Times New Roman"/>
          <w:sz w:val="28"/>
          <w:szCs w:val="28"/>
          <w:lang w:eastAsia="ru-RU"/>
        </w:rPr>
      </w:pPr>
      <w:r w:rsidRPr="00CE4C25">
        <w:rPr>
          <w:rFonts w:eastAsia="Times New Roman" w:cs="Times New Roman"/>
          <w:sz w:val="28"/>
          <w:szCs w:val="28"/>
          <w:lang w:eastAsia="ru-RU"/>
        </w:rPr>
        <w:t>Так</w:t>
      </w:r>
      <w:r w:rsidR="00071014" w:rsidRPr="00CE4C25">
        <w:rPr>
          <w:rFonts w:eastAsia="Times New Roman" w:cs="Times New Roman"/>
          <w:sz w:val="28"/>
          <w:szCs w:val="28"/>
          <w:lang w:eastAsia="ru-RU"/>
        </w:rPr>
        <w:t xml:space="preserve">же за отчетный период размещено </w:t>
      </w:r>
      <w:r w:rsidR="00F34C5D" w:rsidRPr="00CE4C25">
        <w:rPr>
          <w:rFonts w:eastAsia="Times New Roman" w:cs="Times New Roman"/>
          <w:b/>
          <w:sz w:val="28"/>
          <w:szCs w:val="28"/>
          <w:lang w:eastAsia="ru-RU"/>
        </w:rPr>
        <w:t>1</w:t>
      </w:r>
      <w:r w:rsidR="00D92D2A" w:rsidRPr="00CE4C25">
        <w:rPr>
          <w:rFonts w:eastAsia="Times New Roman" w:cs="Times New Roman"/>
          <w:b/>
          <w:sz w:val="28"/>
          <w:szCs w:val="28"/>
          <w:lang w:eastAsia="ru-RU"/>
        </w:rPr>
        <w:t>5</w:t>
      </w:r>
      <w:r w:rsidR="00071014" w:rsidRPr="00CE4C25">
        <w:rPr>
          <w:rFonts w:eastAsia="Times New Roman" w:cs="Times New Roman"/>
          <w:sz w:val="28"/>
          <w:szCs w:val="28"/>
          <w:lang w:eastAsia="ru-RU"/>
        </w:rPr>
        <w:t xml:space="preserve"> </w:t>
      </w:r>
      <w:r w:rsidR="00927E7F" w:rsidRPr="00CE4C25">
        <w:rPr>
          <w:rFonts w:eastAsia="Times New Roman" w:cs="Times New Roman"/>
          <w:sz w:val="28"/>
          <w:szCs w:val="28"/>
          <w:lang w:eastAsia="ru-RU"/>
        </w:rPr>
        <w:t>извещений</w:t>
      </w:r>
      <w:r w:rsidR="00071014" w:rsidRPr="00CE4C25">
        <w:rPr>
          <w:rFonts w:eastAsia="Times New Roman" w:cs="Times New Roman"/>
          <w:sz w:val="28"/>
          <w:szCs w:val="28"/>
          <w:lang w:eastAsia="ru-RU"/>
        </w:rPr>
        <w:t xml:space="preserve"> о закупке,</w:t>
      </w:r>
      <w:r w:rsidR="00262DDD" w:rsidRPr="00CE4C25">
        <w:rPr>
          <w:rFonts w:eastAsia="Times New Roman" w:cs="Times New Roman"/>
          <w:sz w:val="28"/>
          <w:szCs w:val="28"/>
          <w:lang w:eastAsia="ru-RU"/>
        </w:rPr>
        <w:t xml:space="preserve"> </w:t>
      </w:r>
      <w:r w:rsidR="00406A53" w:rsidRPr="00CE4C25">
        <w:rPr>
          <w:rFonts w:eastAsia="Times New Roman" w:cs="Times New Roman"/>
          <w:sz w:val="28"/>
          <w:szCs w:val="28"/>
          <w:lang w:eastAsia="ru-RU"/>
        </w:rPr>
        <w:t xml:space="preserve">в которых </w:t>
      </w:r>
      <w:r w:rsidR="00071014" w:rsidRPr="00CE4C25">
        <w:rPr>
          <w:rFonts w:eastAsia="Times New Roman" w:cs="Times New Roman"/>
          <w:sz w:val="28"/>
          <w:szCs w:val="28"/>
          <w:lang w:eastAsia="ru-RU"/>
        </w:rPr>
        <w:t xml:space="preserve">установлено требование к поставщику (подрядчику, исполнителю), не являющемуся СМП или СОНКО, о привлечении к исполнению контракта </w:t>
      </w:r>
      <w:r w:rsidR="00071014">
        <w:rPr>
          <w:rFonts w:eastAsia="Times New Roman" w:cs="Times New Roman"/>
          <w:sz w:val="28"/>
          <w:szCs w:val="28"/>
          <w:lang w:eastAsia="ru-RU"/>
        </w:rPr>
        <w:t>субподрядчиков, соисполнителей из числа СМП, СОНКО</w:t>
      </w:r>
      <w:r w:rsidR="00406A53">
        <w:rPr>
          <w:rFonts w:eastAsia="Times New Roman" w:cs="Times New Roman"/>
          <w:sz w:val="28"/>
          <w:szCs w:val="28"/>
          <w:lang w:eastAsia="ru-RU"/>
        </w:rPr>
        <w:t xml:space="preserve">, </w:t>
      </w:r>
      <w:r w:rsidR="00406A53" w:rsidRPr="00406A53">
        <w:rPr>
          <w:rFonts w:eastAsia="Times New Roman" w:cs="Times New Roman"/>
          <w:sz w:val="28"/>
          <w:szCs w:val="28"/>
          <w:lang w:eastAsia="ru-RU"/>
        </w:rPr>
        <w:t>что составило 8,87  % от общего коли</w:t>
      </w:r>
      <w:r w:rsidR="00406A53">
        <w:rPr>
          <w:rFonts w:eastAsia="Times New Roman" w:cs="Times New Roman"/>
          <w:sz w:val="28"/>
          <w:szCs w:val="28"/>
          <w:lang w:eastAsia="ru-RU"/>
        </w:rPr>
        <w:t>чества опубликованных извещений</w:t>
      </w:r>
      <w:r w:rsidR="0019775F">
        <w:rPr>
          <w:rFonts w:eastAsia="Times New Roman" w:cs="Times New Roman"/>
          <w:sz w:val="28"/>
          <w:szCs w:val="28"/>
          <w:lang w:eastAsia="ru-RU"/>
        </w:rPr>
        <w:t>. Д</w:t>
      </w:r>
      <w:r w:rsidR="00B44A06">
        <w:rPr>
          <w:rFonts w:eastAsia="Times New Roman" w:cs="Times New Roman"/>
          <w:sz w:val="28"/>
          <w:szCs w:val="28"/>
          <w:lang w:eastAsia="ru-RU"/>
        </w:rPr>
        <w:t xml:space="preserve">анное требование устанавливается </w:t>
      </w:r>
      <w:r w:rsidR="00B44A06" w:rsidRPr="00B44A06">
        <w:rPr>
          <w:rFonts w:eastAsia="Times New Roman" w:cs="Times New Roman"/>
          <w:sz w:val="28"/>
          <w:szCs w:val="28"/>
          <w:lang w:eastAsia="ru-RU"/>
        </w:rPr>
        <w:t xml:space="preserve">при проведении </w:t>
      </w:r>
      <w:r w:rsidR="00B44A06" w:rsidRPr="00A93F1B">
        <w:rPr>
          <w:rFonts w:eastAsia="Times New Roman" w:cs="Times New Roman"/>
          <w:sz w:val="28"/>
          <w:szCs w:val="28"/>
          <w:lang w:eastAsia="ru-RU"/>
        </w:rPr>
        <w:t>закупок с начальной (максимальной) ценой свыше 20 000,00 тыс. руб. в соответствии с ч. 1 ст. 30 Закона о контрактной системе.</w:t>
      </w:r>
    </w:p>
    <w:p w:rsidR="00BA0720" w:rsidRPr="00E92536" w:rsidRDefault="00BA0720" w:rsidP="00EB155F">
      <w:pPr>
        <w:spacing w:after="0" w:line="360" w:lineRule="auto"/>
        <w:ind w:firstLine="720"/>
        <w:jc w:val="both"/>
        <w:rPr>
          <w:rFonts w:eastAsia="Times New Roman" w:cs="Times New Roman"/>
          <w:sz w:val="28"/>
          <w:szCs w:val="28"/>
          <w:lang w:eastAsia="ru-RU"/>
        </w:rPr>
      </w:pPr>
      <w:r w:rsidRPr="00E92536">
        <w:rPr>
          <w:rFonts w:eastAsia="Times New Roman" w:cs="Times New Roman"/>
          <w:sz w:val="28"/>
          <w:szCs w:val="28"/>
          <w:lang w:eastAsia="ru-RU"/>
        </w:rPr>
        <w:lastRenderedPageBreak/>
        <w:t>Сумма начальных максимальных цен контрактов</w:t>
      </w:r>
      <w:r w:rsidR="0098538C" w:rsidRPr="00E92536">
        <w:rPr>
          <w:rFonts w:eastAsia="Times New Roman" w:cs="Times New Roman"/>
          <w:sz w:val="28"/>
          <w:szCs w:val="28"/>
          <w:lang w:eastAsia="ru-RU"/>
        </w:rPr>
        <w:t>,</w:t>
      </w:r>
      <w:r w:rsidRPr="00E92536">
        <w:rPr>
          <w:rFonts w:eastAsia="Times New Roman" w:cs="Times New Roman"/>
          <w:sz w:val="28"/>
          <w:szCs w:val="28"/>
          <w:lang w:eastAsia="ru-RU"/>
        </w:rPr>
        <w:t xml:space="preserve"> объявленных состоявшихся конкур</w:t>
      </w:r>
      <w:r w:rsidR="000B3A3F" w:rsidRPr="00E92536">
        <w:rPr>
          <w:rFonts w:eastAsia="Times New Roman" w:cs="Times New Roman"/>
          <w:sz w:val="28"/>
          <w:szCs w:val="28"/>
          <w:lang w:eastAsia="ru-RU"/>
        </w:rPr>
        <w:t>ентных</w:t>
      </w:r>
      <w:r w:rsidRPr="00E92536">
        <w:rPr>
          <w:rFonts w:eastAsia="Times New Roman" w:cs="Times New Roman"/>
          <w:sz w:val="28"/>
          <w:szCs w:val="28"/>
          <w:lang w:eastAsia="ru-RU"/>
        </w:rPr>
        <w:t xml:space="preserve"> процедур с </w:t>
      </w:r>
      <w:r w:rsidR="00F34C5D" w:rsidRPr="00E92536">
        <w:rPr>
          <w:rFonts w:eastAsia="Times New Roman" w:cs="Times New Roman"/>
          <w:sz w:val="28"/>
          <w:szCs w:val="28"/>
          <w:lang w:eastAsia="ru-RU"/>
        </w:rPr>
        <w:t>условием о привлечении</w:t>
      </w:r>
      <w:r w:rsidRPr="00E92536">
        <w:rPr>
          <w:rFonts w:eastAsia="Times New Roman" w:cs="Times New Roman"/>
          <w:sz w:val="28"/>
          <w:szCs w:val="28"/>
          <w:lang w:eastAsia="ru-RU"/>
        </w:rPr>
        <w:t xml:space="preserve"> </w:t>
      </w:r>
      <w:r w:rsidR="002C0E41" w:rsidRPr="00E92536">
        <w:rPr>
          <w:rFonts w:eastAsia="Times New Roman" w:cs="Times New Roman"/>
          <w:sz w:val="28"/>
          <w:szCs w:val="28"/>
          <w:lang w:eastAsia="ru-RU"/>
        </w:rPr>
        <w:t>СМП</w:t>
      </w:r>
      <w:r w:rsidRPr="00E92536">
        <w:rPr>
          <w:rFonts w:eastAsia="Times New Roman" w:cs="Times New Roman"/>
          <w:sz w:val="28"/>
          <w:szCs w:val="28"/>
          <w:lang w:eastAsia="ru-RU"/>
        </w:rPr>
        <w:t xml:space="preserve">, </w:t>
      </w:r>
      <w:r w:rsidR="002C0E41" w:rsidRPr="00E92536">
        <w:rPr>
          <w:rFonts w:eastAsia="Times New Roman" w:cs="Times New Roman"/>
          <w:sz w:val="28"/>
          <w:szCs w:val="28"/>
          <w:lang w:eastAsia="ru-RU"/>
        </w:rPr>
        <w:t>СОНКО</w:t>
      </w:r>
      <w:r w:rsidRPr="00E92536">
        <w:rPr>
          <w:rFonts w:eastAsia="Times New Roman" w:cs="Times New Roman"/>
          <w:sz w:val="28"/>
          <w:szCs w:val="28"/>
          <w:lang w:eastAsia="ru-RU"/>
        </w:rPr>
        <w:t xml:space="preserve"> составила </w:t>
      </w:r>
      <w:r w:rsidR="009375A6" w:rsidRPr="00E92536">
        <w:rPr>
          <w:rFonts w:eastAsia="Times New Roman" w:cs="Times New Roman"/>
          <w:sz w:val="28"/>
          <w:szCs w:val="28"/>
          <w:lang w:eastAsia="ru-RU"/>
        </w:rPr>
        <w:t>–</w:t>
      </w:r>
      <w:r w:rsidRPr="00E92536">
        <w:rPr>
          <w:rFonts w:eastAsia="Times New Roman" w:cs="Times New Roman"/>
          <w:sz w:val="28"/>
          <w:szCs w:val="28"/>
          <w:lang w:eastAsia="ru-RU"/>
        </w:rPr>
        <w:t xml:space="preserve"> </w:t>
      </w:r>
      <w:r w:rsidR="00E86AA6" w:rsidRPr="00E92536">
        <w:rPr>
          <w:rFonts w:eastAsia="Times New Roman" w:cs="Times New Roman"/>
          <w:sz w:val="28"/>
          <w:szCs w:val="28"/>
          <w:lang w:eastAsia="ru-RU"/>
        </w:rPr>
        <w:t xml:space="preserve"> . </w:t>
      </w:r>
      <w:r w:rsidR="000D50B6" w:rsidRPr="00E92536">
        <w:rPr>
          <w:rFonts w:eastAsia="Times New Roman" w:cs="Times New Roman"/>
          <w:sz w:val="28"/>
          <w:szCs w:val="28"/>
          <w:lang w:eastAsia="ru-RU"/>
        </w:rPr>
        <w:t>1 084 425 422,3</w:t>
      </w:r>
      <w:r w:rsidR="00731AFA" w:rsidRPr="00E92536">
        <w:rPr>
          <w:rFonts w:eastAsia="Times New Roman" w:cs="Times New Roman"/>
          <w:sz w:val="28"/>
          <w:szCs w:val="28"/>
          <w:lang w:eastAsia="ru-RU"/>
        </w:rPr>
        <w:t>8</w:t>
      </w:r>
      <w:r w:rsidR="00F34C5D" w:rsidRPr="00E92536">
        <w:rPr>
          <w:rFonts w:eastAsia="Times New Roman" w:cs="Times New Roman"/>
          <w:sz w:val="28"/>
          <w:szCs w:val="28"/>
          <w:lang w:eastAsia="ru-RU"/>
        </w:rPr>
        <w:t xml:space="preserve"> </w:t>
      </w:r>
      <w:r w:rsidR="009375A6" w:rsidRPr="00E92536">
        <w:rPr>
          <w:rFonts w:eastAsia="Times New Roman" w:cs="Times New Roman"/>
          <w:sz w:val="28"/>
          <w:szCs w:val="28"/>
          <w:lang w:eastAsia="ru-RU"/>
        </w:rPr>
        <w:t>руб.</w:t>
      </w:r>
    </w:p>
    <w:p w:rsidR="0048556F" w:rsidRPr="00E92536" w:rsidRDefault="00BA0720" w:rsidP="00C479DE">
      <w:pPr>
        <w:spacing w:after="0" w:line="360" w:lineRule="auto"/>
        <w:ind w:firstLine="720"/>
        <w:jc w:val="both"/>
        <w:rPr>
          <w:rFonts w:eastAsia="Times New Roman" w:cs="Times New Roman"/>
          <w:sz w:val="28"/>
          <w:szCs w:val="28"/>
          <w:lang w:eastAsia="ru-RU"/>
        </w:rPr>
      </w:pPr>
      <w:r w:rsidRPr="00E92536">
        <w:rPr>
          <w:rFonts w:eastAsia="Times New Roman" w:cs="Times New Roman"/>
          <w:sz w:val="28"/>
          <w:szCs w:val="28"/>
          <w:lang w:eastAsia="ru-RU"/>
        </w:rPr>
        <w:t>Сумма цен заключенных контрактов по результатам проведения кон</w:t>
      </w:r>
      <w:r w:rsidR="000B3A3F" w:rsidRPr="00E92536">
        <w:rPr>
          <w:rFonts w:eastAsia="Times New Roman" w:cs="Times New Roman"/>
          <w:sz w:val="28"/>
          <w:szCs w:val="28"/>
          <w:lang w:eastAsia="ru-RU"/>
        </w:rPr>
        <w:t>курентных</w:t>
      </w:r>
      <w:r w:rsidR="0050304F" w:rsidRPr="00E92536">
        <w:rPr>
          <w:rFonts w:eastAsia="Times New Roman" w:cs="Times New Roman"/>
          <w:sz w:val="28"/>
          <w:szCs w:val="28"/>
          <w:lang w:eastAsia="ru-RU"/>
        </w:rPr>
        <w:t xml:space="preserve"> процедур с учетом привлечения СМП, СОНКО </w:t>
      </w:r>
      <w:r w:rsidR="007175F0" w:rsidRPr="00E92536">
        <w:rPr>
          <w:rFonts w:eastAsia="Times New Roman" w:cs="Times New Roman"/>
          <w:sz w:val="28"/>
          <w:szCs w:val="28"/>
          <w:lang w:eastAsia="ru-RU"/>
        </w:rPr>
        <w:t>–</w:t>
      </w:r>
      <w:r w:rsidR="004F78A7" w:rsidRPr="00E92536">
        <w:rPr>
          <w:rFonts w:eastAsia="Times New Roman" w:cs="Times New Roman"/>
          <w:sz w:val="28"/>
          <w:szCs w:val="28"/>
          <w:lang w:eastAsia="ru-RU"/>
        </w:rPr>
        <w:t xml:space="preserve"> </w:t>
      </w:r>
      <w:r w:rsidR="007E5D3E" w:rsidRPr="00E92536">
        <w:rPr>
          <w:rFonts w:eastAsia="Times New Roman" w:cs="Times New Roman"/>
          <w:sz w:val="28"/>
          <w:szCs w:val="28"/>
          <w:lang w:eastAsia="ru-RU"/>
        </w:rPr>
        <w:t>906  482 347,4</w:t>
      </w:r>
      <w:r w:rsidR="002C62D2" w:rsidRPr="00E92536">
        <w:rPr>
          <w:rFonts w:eastAsia="Times New Roman" w:cs="Times New Roman"/>
          <w:sz w:val="28"/>
          <w:szCs w:val="28"/>
          <w:lang w:eastAsia="ru-RU"/>
        </w:rPr>
        <w:t>2</w:t>
      </w:r>
      <w:r w:rsidR="007175F0" w:rsidRPr="00E92536">
        <w:rPr>
          <w:rFonts w:eastAsia="Times New Roman" w:cs="Times New Roman"/>
          <w:sz w:val="28"/>
          <w:szCs w:val="28"/>
          <w:lang w:eastAsia="ru-RU"/>
        </w:rPr>
        <w:t xml:space="preserve"> </w:t>
      </w:r>
      <w:r w:rsidR="001D6391" w:rsidRPr="00E92536">
        <w:rPr>
          <w:rFonts w:eastAsia="Times New Roman" w:cs="Times New Roman"/>
          <w:sz w:val="28"/>
          <w:szCs w:val="28"/>
          <w:lang w:eastAsia="ru-RU"/>
        </w:rPr>
        <w:t>руб.</w:t>
      </w:r>
    </w:p>
    <w:p w:rsidR="00F95F95" w:rsidRPr="00E92536" w:rsidRDefault="00C137A8" w:rsidP="00C479DE">
      <w:pPr>
        <w:spacing w:after="0" w:line="360" w:lineRule="auto"/>
        <w:ind w:firstLine="720"/>
        <w:jc w:val="both"/>
        <w:rPr>
          <w:rFonts w:eastAsia="Times New Roman" w:cs="Times New Roman"/>
          <w:sz w:val="28"/>
          <w:szCs w:val="28"/>
          <w:lang w:eastAsia="ru-RU"/>
        </w:rPr>
      </w:pPr>
      <w:r w:rsidRPr="00E92536">
        <w:rPr>
          <w:rFonts w:eastAsia="Times New Roman" w:cs="Times New Roman"/>
          <w:sz w:val="28"/>
          <w:szCs w:val="28"/>
          <w:lang w:eastAsia="ru-RU"/>
        </w:rPr>
        <w:t>Информация о количестве извещений для СМП, СОНКО, не СМП и СОНКО,</w:t>
      </w:r>
      <w:r w:rsidR="0080325B" w:rsidRPr="00E92536">
        <w:rPr>
          <w:rFonts w:eastAsia="Times New Roman" w:cs="Times New Roman"/>
          <w:sz w:val="28"/>
          <w:szCs w:val="28"/>
          <w:lang w:eastAsia="ru-RU"/>
        </w:rPr>
        <w:t xml:space="preserve"> </w:t>
      </w:r>
      <w:r w:rsidRPr="00E92536">
        <w:rPr>
          <w:rFonts w:eastAsia="Times New Roman" w:cs="Times New Roman"/>
          <w:sz w:val="28"/>
          <w:szCs w:val="28"/>
          <w:lang w:eastAsia="ru-RU"/>
        </w:rPr>
        <w:t>с условием привлечения СМП, СОНКО представлена на диаграмме № 5.</w:t>
      </w:r>
    </w:p>
    <w:p w:rsidR="002C1839" w:rsidRDefault="00EB155F" w:rsidP="002C1839">
      <w:pPr>
        <w:spacing w:after="0" w:line="240" w:lineRule="auto"/>
        <w:ind w:left="720"/>
        <w:jc w:val="right"/>
        <w:rPr>
          <w:rFonts w:eastAsia="Times New Roman" w:cs="Times New Roman"/>
          <w:b/>
          <w:sz w:val="28"/>
          <w:szCs w:val="28"/>
          <w:lang w:eastAsia="ru-RU"/>
        </w:rPr>
      </w:pPr>
      <w:r w:rsidRPr="00EB155F">
        <w:rPr>
          <w:rFonts w:eastAsia="Times New Roman" w:cs="Times New Roman"/>
          <w:b/>
          <w:sz w:val="28"/>
          <w:szCs w:val="28"/>
          <w:lang w:eastAsia="ru-RU"/>
        </w:rPr>
        <w:t>Диаграмма №5</w:t>
      </w:r>
    </w:p>
    <w:p w:rsidR="002A011A" w:rsidRDefault="002A011A" w:rsidP="002C1839">
      <w:pPr>
        <w:spacing w:after="0" w:line="240" w:lineRule="auto"/>
        <w:ind w:left="720"/>
        <w:jc w:val="right"/>
        <w:rPr>
          <w:rFonts w:eastAsia="Times New Roman" w:cs="Times New Roman"/>
          <w:b/>
          <w:sz w:val="28"/>
          <w:szCs w:val="28"/>
          <w:lang w:eastAsia="ru-RU"/>
        </w:rPr>
      </w:pPr>
    </w:p>
    <w:p w:rsidR="002A011A" w:rsidRDefault="00833E87" w:rsidP="002A011A">
      <w:pPr>
        <w:spacing w:after="0" w:line="240" w:lineRule="auto"/>
        <w:ind w:left="720"/>
        <w:jc w:val="center"/>
        <w:rPr>
          <w:rFonts w:eastAsia="Times New Roman" w:cs="Times New Roman"/>
          <w:b/>
          <w:sz w:val="28"/>
          <w:szCs w:val="28"/>
          <w:lang w:eastAsia="ru-RU"/>
        </w:rPr>
      </w:pPr>
      <w:r>
        <w:rPr>
          <w:noProof/>
          <w:lang w:eastAsia="ru-RU"/>
        </w:rPr>
        <w:drawing>
          <wp:inline distT="0" distB="0" distL="0" distR="0" wp14:anchorId="19AABD1D" wp14:editId="307892F0">
            <wp:extent cx="5095875" cy="360045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0BA6" w:rsidRPr="00EB155F" w:rsidRDefault="00A50BA6" w:rsidP="002C1839">
      <w:pPr>
        <w:spacing w:after="0" w:line="240" w:lineRule="auto"/>
        <w:ind w:left="720"/>
        <w:jc w:val="right"/>
        <w:rPr>
          <w:rFonts w:eastAsia="Times New Roman" w:cs="Times New Roman"/>
          <w:b/>
          <w:sz w:val="28"/>
          <w:szCs w:val="28"/>
          <w:lang w:eastAsia="ru-RU"/>
        </w:rPr>
      </w:pPr>
    </w:p>
    <w:p w:rsidR="00DD3811" w:rsidRPr="00D5178C" w:rsidRDefault="00DD3811" w:rsidP="001B7869">
      <w:pPr>
        <w:spacing w:after="0" w:line="240" w:lineRule="auto"/>
        <w:jc w:val="center"/>
        <w:rPr>
          <w:rFonts w:eastAsia="Times New Roman" w:cs="Times New Roman"/>
          <w:sz w:val="28"/>
          <w:szCs w:val="28"/>
          <w:lang w:eastAsia="ru-RU"/>
        </w:rPr>
      </w:pPr>
    </w:p>
    <w:p w:rsidR="00DD3811" w:rsidRDefault="00DD3811" w:rsidP="00A41F27">
      <w:pPr>
        <w:spacing w:after="0" w:line="360" w:lineRule="auto"/>
        <w:ind w:firstLine="709"/>
        <w:jc w:val="both"/>
        <w:rPr>
          <w:rFonts w:eastAsia="Times New Roman" w:cs="Times New Roman"/>
          <w:b/>
          <w:sz w:val="28"/>
          <w:szCs w:val="28"/>
          <w:lang w:eastAsia="ru-RU"/>
        </w:rPr>
      </w:pPr>
      <w:r w:rsidRPr="00A93F1B">
        <w:rPr>
          <w:rFonts w:eastAsia="Times New Roman" w:cs="Times New Roman"/>
          <w:sz w:val="28"/>
          <w:szCs w:val="28"/>
          <w:lang w:eastAsia="ru-RU"/>
        </w:rPr>
        <w:t xml:space="preserve">По результатам закупок, участниками которых могли быть только СМП, СОНКО, </w:t>
      </w:r>
      <w:proofErr w:type="gramStart"/>
      <w:r w:rsidRPr="00A93F1B">
        <w:rPr>
          <w:rFonts w:eastAsia="Times New Roman" w:cs="Times New Roman"/>
          <w:sz w:val="28"/>
          <w:szCs w:val="28"/>
          <w:lang w:eastAsia="ru-RU"/>
        </w:rPr>
        <w:t>извещения</w:t>
      </w:r>
      <w:proofErr w:type="gramEnd"/>
      <w:r w:rsidRPr="00A93F1B">
        <w:rPr>
          <w:rFonts w:eastAsia="Times New Roman" w:cs="Times New Roman"/>
          <w:sz w:val="28"/>
          <w:szCs w:val="28"/>
          <w:lang w:eastAsia="ru-RU"/>
        </w:rPr>
        <w:t xml:space="preserve"> об осуществле</w:t>
      </w:r>
      <w:r w:rsidR="00326DF3" w:rsidRPr="00A93F1B">
        <w:rPr>
          <w:rFonts w:eastAsia="Times New Roman" w:cs="Times New Roman"/>
          <w:sz w:val="28"/>
          <w:szCs w:val="28"/>
          <w:lang w:eastAsia="ru-RU"/>
        </w:rPr>
        <w:t>н</w:t>
      </w:r>
      <w:r w:rsidR="00552BED" w:rsidRPr="00A93F1B">
        <w:rPr>
          <w:rFonts w:eastAsia="Times New Roman" w:cs="Times New Roman"/>
          <w:sz w:val="28"/>
          <w:szCs w:val="28"/>
          <w:lang w:eastAsia="ru-RU"/>
        </w:rPr>
        <w:t xml:space="preserve">ии которых размещены в ЕИС за </w:t>
      </w:r>
      <w:r w:rsidR="003E5334">
        <w:rPr>
          <w:rFonts w:eastAsia="Times New Roman" w:cs="Times New Roman"/>
          <w:sz w:val="28"/>
          <w:szCs w:val="28"/>
          <w:lang w:eastAsia="ru-RU"/>
        </w:rPr>
        <w:t>2 квартал</w:t>
      </w:r>
      <w:r w:rsidR="00552BED" w:rsidRPr="00A93F1B">
        <w:rPr>
          <w:rFonts w:eastAsia="Times New Roman" w:cs="Times New Roman"/>
          <w:sz w:val="28"/>
          <w:szCs w:val="28"/>
          <w:lang w:eastAsia="ru-RU"/>
        </w:rPr>
        <w:t xml:space="preserve"> 2024</w:t>
      </w:r>
      <w:r w:rsidR="00707771" w:rsidRPr="00A93F1B">
        <w:rPr>
          <w:rFonts w:eastAsia="Times New Roman" w:cs="Times New Roman"/>
          <w:sz w:val="28"/>
          <w:szCs w:val="28"/>
          <w:lang w:eastAsia="ru-RU"/>
        </w:rPr>
        <w:t xml:space="preserve"> года, заказчиками заключено </w:t>
      </w:r>
      <w:r w:rsidR="00F8385E" w:rsidRPr="00A93F1B">
        <w:rPr>
          <w:rFonts w:eastAsia="Times New Roman" w:cs="Times New Roman"/>
          <w:b/>
          <w:sz w:val="28"/>
          <w:szCs w:val="28"/>
          <w:lang w:eastAsia="ru-RU"/>
        </w:rPr>
        <w:t>119</w:t>
      </w:r>
      <w:r w:rsidR="00764D2C" w:rsidRPr="00A93F1B">
        <w:rPr>
          <w:rFonts w:eastAsia="Times New Roman" w:cs="Times New Roman"/>
          <w:sz w:val="28"/>
          <w:szCs w:val="28"/>
          <w:lang w:eastAsia="ru-RU"/>
        </w:rPr>
        <w:t xml:space="preserve"> контрактов,</w:t>
      </w:r>
      <w:r w:rsidR="0098538C" w:rsidRPr="00A93F1B">
        <w:rPr>
          <w:rFonts w:eastAsia="Times New Roman" w:cs="Times New Roman"/>
          <w:sz w:val="28"/>
          <w:szCs w:val="28"/>
          <w:lang w:eastAsia="ru-RU"/>
        </w:rPr>
        <w:t xml:space="preserve"> ч</w:t>
      </w:r>
      <w:r w:rsidRPr="00A93F1B">
        <w:rPr>
          <w:rFonts w:eastAsia="Times New Roman" w:cs="Times New Roman"/>
          <w:sz w:val="28"/>
          <w:szCs w:val="28"/>
          <w:lang w:eastAsia="ru-RU"/>
        </w:rPr>
        <w:t>то составляет (</w:t>
      </w:r>
      <w:r w:rsidR="006F1449" w:rsidRPr="00A93F1B">
        <w:rPr>
          <w:rFonts w:eastAsia="Times New Roman" w:cs="Times New Roman"/>
          <w:b/>
          <w:sz w:val="28"/>
          <w:szCs w:val="28"/>
          <w:lang w:eastAsia="ru-RU"/>
        </w:rPr>
        <w:t xml:space="preserve">92,25 </w:t>
      </w:r>
      <w:r w:rsidRPr="00A93F1B">
        <w:rPr>
          <w:rFonts w:eastAsia="Times New Roman" w:cs="Times New Roman"/>
          <w:b/>
          <w:sz w:val="28"/>
          <w:szCs w:val="28"/>
          <w:lang w:eastAsia="ru-RU"/>
        </w:rPr>
        <w:t>%</w:t>
      </w:r>
      <w:r w:rsidRPr="00A93F1B">
        <w:rPr>
          <w:rFonts w:eastAsia="Times New Roman" w:cs="Times New Roman"/>
          <w:sz w:val="28"/>
          <w:szCs w:val="28"/>
          <w:lang w:eastAsia="ru-RU"/>
        </w:rPr>
        <w:t xml:space="preserve">), на сумму </w:t>
      </w:r>
      <w:r w:rsidR="00577A31" w:rsidRPr="00A93F1B">
        <w:rPr>
          <w:rFonts w:eastAsia="Times New Roman" w:cs="Times New Roman"/>
          <w:sz w:val="28"/>
          <w:szCs w:val="28"/>
          <w:lang w:eastAsia="ru-RU"/>
        </w:rPr>
        <w:t xml:space="preserve">185 626 636,06 (в т. ч. контракты, находящиеся в стадии подписания)  (86,04%) </w:t>
      </w:r>
      <w:r w:rsidR="00CC4870" w:rsidRPr="00A93F1B">
        <w:rPr>
          <w:rFonts w:eastAsia="Times New Roman" w:cs="Times New Roman"/>
          <w:b/>
          <w:sz w:val="28"/>
          <w:szCs w:val="28"/>
          <w:lang w:eastAsia="ru-RU"/>
        </w:rPr>
        <w:t>от количества объявленных извещений о закупках, участниками которых могут быть только субъекты малого предпринимательства и социально ориентированные некоммерческие организации.</w:t>
      </w:r>
    </w:p>
    <w:p w:rsidR="00A41F27" w:rsidRDefault="00A41F27" w:rsidP="00A41F27">
      <w:pPr>
        <w:spacing w:after="0" w:line="360" w:lineRule="auto"/>
        <w:ind w:firstLine="709"/>
        <w:jc w:val="both"/>
        <w:rPr>
          <w:rFonts w:eastAsia="Times New Roman" w:cs="Times New Roman"/>
          <w:b/>
          <w:sz w:val="28"/>
          <w:szCs w:val="28"/>
          <w:lang w:eastAsia="ru-RU"/>
        </w:rPr>
      </w:pPr>
    </w:p>
    <w:p w:rsidR="00181BBB" w:rsidRDefault="00181BBB" w:rsidP="00A41F27">
      <w:pPr>
        <w:spacing w:after="0" w:line="360" w:lineRule="auto"/>
        <w:ind w:firstLine="709"/>
        <w:jc w:val="both"/>
        <w:rPr>
          <w:rFonts w:eastAsia="Times New Roman" w:cs="Times New Roman"/>
          <w:b/>
          <w:sz w:val="28"/>
          <w:szCs w:val="28"/>
          <w:lang w:eastAsia="ru-RU"/>
        </w:rPr>
      </w:pPr>
    </w:p>
    <w:p w:rsidR="00190AE8" w:rsidRDefault="001466DC" w:rsidP="00190AE8">
      <w:pPr>
        <w:spacing w:after="0" w:line="240" w:lineRule="auto"/>
        <w:ind w:left="720"/>
        <w:jc w:val="center"/>
        <w:rPr>
          <w:rFonts w:eastAsia="Times New Roman" w:cs="Times New Roman"/>
          <w:b/>
          <w:sz w:val="28"/>
          <w:szCs w:val="28"/>
          <w:lang w:eastAsia="ru-RU"/>
        </w:rPr>
      </w:pPr>
      <w:r>
        <w:rPr>
          <w:rFonts w:eastAsia="Times New Roman" w:cs="Times New Roman"/>
          <w:b/>
          <w:sz w:val="28"/>
          <w:szCs w:val="28"/>
          <w:lang w:eastAsia="ru-RU"/>
        </w:rPr>
        <w:lastRenderedPageBreak/>
        <w:t>5</w:t>
      </w:r>
      <w:r w:rsidR="00190AE8" w:rsidRPr="009268CF">
        <w:rPr>
          <w:rFonts w:eastAsia="Times New Roman" w:cs="Times New Roman"/>
          <w:b/>
          <w:sz w:val="28"/>
          <w:szCs w:val="28"/>
          <w:lang w:eastAsia="ru-RU"/>
        </w:rPr>
        <w:t xml:space="preserve">. </w:t>
      </w:r>
      <w:r w:rsidR="001D0E62" w:rsidRPr="009268CF">
        <w:rPr>
          <w:rFonts w:eastAsia="Times New Roman" w:cs="Times New Roman"/>
          <w:b/>
          <w:sz w:val="28"/>
          <w:szCs w:val="28"/>
          <w:lang w:eastAsia="ru-RU"/>
        </w:rPr>
        <w:t>ИФОРМАЦИЯ О ЗАКЛЮЧЕННЫХ КОНТРАКТАХ</w:t>
      </w:r>
    </w:p>
    <w:p w:rsidR="00190AE8" w:rsidRDefault="00190AE8" w:rsidP="00190AE8">
      <w:pPr>
        <w:spacing w:after="0" w:line="240" w:lineRule="auto"/>
        <w:ind w:left="720"/>
        <w:jc w:val="center"/>
        <w:rPr>
          <w:rFonts w:eastAsia="Times New Roman" w:cs="Times New Roman"/>
          <w:b/>
          <w:sz w:val="28"/>
          <w:szCs w:val="28"/>
          <w:lang w:eastAsia="ru-RU"/>
        </w:rPr>
      </w:pPr>
    </w:p>
    <w:p w:rsidR="00190AE8" w:rsidRPr="00A93F1B" w:rsidRDefault="00DD3811" w:rsidP="00DD3811">
      <w:pPr>
        <w:spacing w:after="0" w:line="360" w:lineRule="auto"/>
        <w:ind w:firstLine="720"/>
        <w:jc w:val="both"/>
        <w:rPr>
          <w:rFonts w:eastAsia="Times New Roman" w:cs="Times New Roman"/>
          <w:sz w:val="28"/>
          <w:szCs w:val="28"/>
          <w:lang w:eastAsia="ru-RU"/>
        </w:rPr>
      </w:pPr>
      <w:r w:rsidRPr="00A93F1B">
        <w:rPr>
          <w:rFonts w:eastAsia="Times New Roman" w:cs="Times New Roman"/>
          <w:sz w:val="28"/>
          <w:szCs w:val="28"/>
          <w:lang w:eastAsia="ru-RU"/>
        </w:rPr>
        <w:t>По результатам осуществления закупок</w:t>
      </w:r>
      <w:r w:rsidR="004F27E8" w:rsidRPr="00A93F1B">
        <w:rPr>
          <w:rFonts w:eastAsia="Times New Roman" w:cs="Times New Roman"/>
          <w:sz w:val="28"/>
          <w:szCs w:val="28"/>
          <w:lang w:eastAsia="ru-RU"/>
        </w:rPr>
        <w:t xml:space="preserve"> в отчетном периоде</w:t>
      </w:r>
      <w:r w:rsidRPr="00A93F1B">
        <w:rPr>
          <w:rFonts w:eastAsia="Times New Roman" w:cs="Times New Roman"/>
          <w:sz w:val="28"/>
          <w:szCs w:val="28"/>
          <w:lang w:eastAsia="ru-RU"/>
        </w:rPr>
        <w:t xml:space="preserve"> </w:t>
      </w:r>
      <w:r w:rsidR="009B0568" w:rsidRPr="00A93F1B">
        <w:rPr>
          <w:rFonts w:eastAsia="Times New Roman" w:cs="Times New Roman"/>
          <w:sz w:val="28"/>
          <w:szCs w:val="28"/>
          <w:lang w:eastAsia="ru-RU"/>
        </w:rPr>
        <w:t>заказчиками</w:t>
      </w:r>
      <w:r w:rsidRPr="00A93F1B">
        <w:rPr>
          <w:rFonts w:eastAsia="Times New Roman" w:cs="Times New Roman"/>
          <w:sz w:val="28"/>
          <w:szCs w:val="28"/>
          <w:lang w:eastAsia="ru-RU"/>
        </w:rPr>
        <w:t xml:space="preserve"> </w:t>
      </w:r>
      <w:r w:rsidR="004F27E8" w:rsidRPr="00A93F1B">
        <w:rPr>
          <w:rFonts w:eastAsia="Times New Roman" w:cs="Times New Roman"/>
          <w:sz w:val="28"/>
          <w:szCs w:val="28"/>
          <w:lang w:eastAsia="ru-RU"/>
        </w:rPr>
        <w:t>заключен</w:t>
      </w:r>
      <w:r w:rsidR="002541C3" w:rsidRPr="00A93F1B">
        <w:rPr>
          <w:rFonts w:eastAsia="Times New Roman" w:cs="Times New Roman"/>
          <w:sz w:val="28"/>
          <w:szCs w:val="28"/>
          <w:lang w:eastAsia="ru-RU"/>
        </w:rPr>
        <w:t>о</w:t>
      </w:r>
      <w:r w:rsidR="009B0568" w:rsidRPr="00A93F1B">
        <w:rPr>
          <w:rFonts w:eastAsia="Times New Roman" w:cs="Times New Roman"/>
          <w:sz w:val="28"/>
          <w:szCs w:val="28"/>
          <w:lang w:eastAsia="ru-RU"/>
        </w:rPr>
        <w:t xml:space="preserve"> </w:t>
      </w:r>
      <w:r w:rsidR="00754417" w:rsidRPr="003A6508">
        <w:rPr>
          <w:rFonts w:eastAsia="Times New Roman" w:cs="Times New Roman"/>
          <w:b/>
          <w:sz w:val="28"/>
          <w:szCs w:val="28"/>
          <w:lang w:eastAsia="ru-RU"/>
        </w:rPr>
        <w:t>1</w:t>
      </w:r>
      <w:r w:rsidR="00602250" w:rsidRPr="003A6508">
        <w:rPr>
          <w:rFonts w:eastAsia="Times New Roman" w:cs="Times New Roman"/>
          <w:b/>
          <w:sz w:val="28"/>
          <w:szCs w:val="28"/>
          <w:lang w:eastAsia="ru-RU"/>
        </w:rPr>
        <w:t>49</w:t>
      </w:r>
      <w:r w:rsidR="00A968C9" w:rsidRPr="00A93F1B">
        <w:rPr>
          <w:rFonts w:eastAsia="Times New Roman" w:cs="Times New Roman"/>
          <w:sz w:val="28"/>
          <w:szCs w:val="28"/>
          <w:lang w:eastAsia="ru-RU"/>
        </w:rPr>
        <w:t xml:space="preserve"> контракт</w:t>
      </w:r>
      <w:r w:rsidR="00602250" w:rsidRPr="00A93F1B">
        <w:rPr>
          <w:rFonts w:eastAsia="Times New Roman" w:cs="Times New Roman"/>
          <w:sz w:val="28"/>
          <w:szCs w:val="28"/>
          <w:lang w:eastAsia="ru-RU"/>
        </w:rPr>
        <w:t>ов</w:t>
      </w:r>
      <w:r w:rsidR="009B0568" w:rsidRPr="00A93F1B">
        <w:rPr>
          <w:rFonts w:eastAsia="Times New Roman" w:cs="Times New Roman"/>
          <w:sz w:val="28"/>
          <w:szCs w:val="28"/>
          <w:lang w:eastAsia="ru-RU"/>
        </w:rPr>
        <w:t xml:space="preserve"> на общую сумму </w:t>
      </w:r>
      <w:r w:rsidR="00754417" w:rsidRPr="00A93F1B">
        <w:rPr>
          <w:rFonts w:eastAsia="Times New Roman" w:cs="Times New Roman"/>
          <w:sz w:val="28"/>
          <w:szCs w:val="28"/>
          <w:lang w:eastAsia="ru-RU"/>
        </w:rPr>
        <w:t>1</w:t>
      </w:r>
      <w:r w:rsidR="00602250" w:rsidRPr="00A93F1B">
        <w:rPr>
          <w:rFonts w:eastAsia="Times New Roman" w:cs="Times New Roman"/>
          <w:sz w:val="28"/>
          <w:szCs w:val="28"/>
          <w:lang w:eastAsia="ru-RU"/>
        </w:rPr>
        <w:t> </w:t>
      </w:r>
      <w:r w:rsidR="00DF6E8C" w:rsidRPr="00A93F1B">
        <w:rPr>
          <w:rFonts w:eastAsia="Times New Roman" w:cs="Times New Roman"/>
          <w:sz w:val="28"/>
          <w:szCs w:val="28"/>
          <w:lang w:eastAsia="ru-RU"/>
        </w:rPr>
        <w:t>091</w:t>
      </w:r>
      <w:r w:rsidR="00602250" w:rsidRPr="00A93F1B">
        <w:rPr>
          <w:rFonts w:eastAsia="Times New Roman" w:cs="Times New Roman"/>
          <w:sz w:val="28"/>
          <w:szCs w:val="28"/>
          <w:lang w:eastAsia="ru-RU"/>
        </w:rPr>
        <w:t xml:space="preserve"> </w:t>
      </w:r>
      <w:r w:rsidR="00DF6E8C" w:rsidRPr="00A93F1B">
        <w:rPr>
          <w:rFonts w:eastAsia="Times New Roman" w:cs="Times New Roman"/>
          <w:sz w:val="28"/>
          <w:szCs w:val="28"/>
          <w:lang w:eastAsia="ru-RU"/>
        </w:rPr>
        <w:t>961 755,56 руб</w:t>
      </w:r>
      <w:r w:rsidR="009B0568" w:rsidRPr="00A93F1B">
        <w:rPr>
          <w:rFonts w:eastAsia="Times New Roman" w:cs="Times New Roman"/>
          <w:sz w:val="28"/>
          <w:szCs w:val="28"/>
          <w:lang w:eastAsia="ru-RU"/>
        </w:rPr>
        <w:t>.</w:t>
      </w:r>
      <w:r w:rsidR="00082CD0" w:rsidRPr="00A93F1B">
        <w:rPr>
          <w:rFonts w:eastAsia="Times New Roman" w:cs="Times New Roman"/>
          <w:sz w:val="28"/>
          <w:szCs w:val="28"/>
          <w:lang w:eastAsia="ru-RU"/>
        </w:rPr>
        <w:t xml:space="preserve">, что составило – </w:t>
      </w:r>
      <w:r w:rsidR="006D6781" w:rsidRPr="00A93F1B">
        <w:rPr>
          <w:rFonts w:eastAsia="Times New Roman" w:cs="Times New Roman"/>
          <w:b/>
          <w:sz w:val="28"/>
          <w:szCs w:val="28"/>
          <w:lang w:eastAsia="ru-RU"/>
        </w:rPr>
        <w:t>88, 17</w:t>
      </w:r>
      <w:r w:rsidR="00D91365" w:rsidRPr="00A93F1B">
        <w:rPr>
          <w:rFonts w:eastAsia="Times New Roman" w:cs="Times New Roman"/>
          <w:b/>
          <w:sz w:val="28"/>
          <w:szCs w:val="28"/>
          <w:lang w:eastAsia="ru-RU"/>
        </w:rPr>
        <w:t xml:space="preserve"> </w:t>
      </w:r>
      <w:r w:rsidR="00082CD0" w:rsidRPr="00A93F1B">
        <w:rPr>
          <w:rFonts w:eastAsia="Times New Roman" w:cs="Times New Roman"/>
          <w:b/>
          <w:sz w:val="28"/>
          <w:szCs w:val="28"/>
          <w:lang w:eastAsia="ru-RU"/>
        </w:rPr>
        <w:t xml:space="preserve">% </w:t>
      </w:r>
      <w:r w:rsidR="00082CD0" w:rsidRPr="00A93F1B">
        <w:rPr>
          <w:rFonts w:eastAsia="Times New Roman" w:cs="Times New Roman"/>
          <w:sz w:val="28"/>
          <w:szCs w:val="28"/>
          <w:lang w:eastAsia="ru-RU"/>
        </w:rPr>
        <w:t xml:space="preserve">в количественном и </w:t>
      </w:r>
      <w:r w:rsidR="006D6781" w:rsidRPr="00A93F1B">
        <w:rPr>
          <w:rFonts w:eastAsia="Times New Roman" w:cs="Times New Roman"/>
          <w:b/>
          <w:sz w:val="28"/>
          <w:szCs w:val="28"/>
          <w:lang w:eastAsia="ru-RU"/>
        </w:rPr>
        <w:t>81,59</w:t>
      </w:r>
      <w:r w:rsidR="00611D09" w:rsidRPr="00A93F1B">
        <w:rPr>
          <w:rFonts w:eastAsia="Times New Roman" w:cs="Times New Roman"/>
          <w:b/>
          <w:sz w:val="28"/>
          <w:szCs w:val="28"/>
          <w:lang w:eastAsia="ru-RU"/>
        </w:rPr>
        <w:t xml:space="preserve"> </w:t>
      </w:r>
      <w:r w:rsidR="00082CD0" w:rsidRPr="00A93F1B">
        <w:rPr>
          <w:rFonts w:eastAsia="Times New Roman" w:cs="Times New Roman"/>
          <w:b/>
          <w:sz w:val="28"/>
          <w:szCs w:val="28"/>
          <w:lang w:eastAsia="ru-RU"/>
        </w:rPr>
        <w:t>%</w:t>
      </w:r>
      <w:r w:rsidR="002B7565" w:rsidRPr="00A93F1B">
        <w:rPr>
          <w:rFonts w:eastAsia="Times New Roman" w:cs="Times New Roman"/>
          <w:sz w:val="28"/>
          <w:szCs w:val="28"/>
          <w:lang w:eastAsia="ru-RU"/>
        </w:rPr>
        <w:t xml:space="preserve"> в стоимостном выражении от общего количества</w:t>
      </w:r>
      <w:r w:rsidR="0008257F" w:rsidRPr="00A93F1B">
        <w:rPr>
          <w:rFonts w:eastAsia="Times New Roman" w:cs="Times New Roman"/>
          <w:sz w:val="28"/>
          <w:szCs w:val="28"/>
          <w:lang w:eastAsia="ru-RU"/>
        </w:rPr>
        <w:t xml:space="preserve"> опубликованных</w:t>
      </w:r>
      <w:r w:rsidR="002B7565" w:rsidRPr="00A93F1B">
        <w:rPr>
          <w:rFonts w:eastAsia="Times New Roman" w:cs="Times New Roman"/>
          <w:sz w:val="28"/>
          <w:szCs w:val="28"/>
          <w:lang w:eastAsia="ru-RU"/>
        </w:rPr>
        <w:t xml:space="preserve"> закупок.</w:t>
      </w:r>
    </w:p>
    <w:p w:rsidR="00BF5719" w:rsidRPr="005617FC" w:rsidRDefault="0049052C" w:rsidP="007D5428">
      <w:pPr>
        <w:spacing w:after="0" w:line="360" w:lineRule="auto"/>
        <w:ind w:firstLine="720"/>
        <w:jc w:val="both"/>
        <w:rPr>
          <w:rFonts w:eastAsia="Times New Roman" w:cs="Times New Roman"/>
          <w:sz w:val="28"/>
          <w:szCs w:val="28"/>
          <w:lang w:eastAsia="ru-RU"/>
        </w:rPr>
      </w:pPr>
      <w:r w:rsidRPr="005617FC">
        <w:rPr>
          <w:rFonts w:eastAsia="Times New Roman" w:cs="Times New Roman"/>
          <w:sz w:val="28"/>
          <w:szCs w:val="28"/>
          <w:lang w:eastAsia="ru-RU"/>
        </w:rPr>
        <w:t xml:space="preserve">Абсолютная экономия составила – </w:t>
      </w:r>
      <w:r w:rsidR="000039F3" w:rsidRPr="005617FC">
        <w:rPr>
          <w:rFonts w:eastAsia="Times New Roman" w:cs="Times New Roman"/>
          <w:sz w:val="28"/>
          <w:szCs w:val="28"/>
          <w:lang w:eastAsia="ru-RU"/>
        </w:rPr>
        <w:t xml:space="preserve"> </w:t>
      </w:r>
      <w:r w:rsidR="00902500" w:rsidRPr="005617FC">
        <w:rPr>
          <w:rFonts w:eastAsia="Times New Roman" w:cs="Times New Roman"/>
          <w:sz w:val="28"/>
          <w:szCs w:val="28"/>
          <w:lang w:eastAsia="ru-RU"/>
        </w:rPr>
        <w:t>119</w:t>
      </w:r>
      <w:r w:rsidR="00961203" w:rsidRPr="005617FC">
        <w:rPr>
          <w:rFonts w:eastAsia="Times New Roman" w:cs="Times New Roman"/>
          <w:sz w:val="28"/>
          <w:szCs w:val="28"/>
          <w:lang w:eastAsia="ru-RU"/>
        </w:rPr>
        <w:t> 770 996,16</w:t>
      </w:r>
      <w:r w:rsidR="00462937" w:rsidRPr="005617FC">
        <w:rPr>
          <w:rFonts w:eastAsia="Times New Roman" w:cs="Times New Roman"/>
          <w:sz w:val="28"/>
          <w:szCs w:val="28"/>
          <w:lang w:eastAsia="ru-RU"/>
        </w:rPr>
        <w:t xml:space="preserve"> </w:t>
      </w:r>
      <w:r w:rsidR="00902500" w:rsidRPr="005617FC">
        <w:rPr>
          <w:rFonts w:eastAsia="Times New Roman" w:cs="Times New Roman"/>
          <w:sz w:val="28"/>
          <w:szCs w:val="28"/>
          <w:lang w:eastAsia="ru-RU"/>
        </w:rPr>
        <w:t xml:space="preserve"> руб</w:t>
      </w:r>
      <w:r w:rsidR="009E56EB" w:rsidRPr="005617FC">
        <w:rPr>
          <w:rFonts w:eastAsia="Times New Roman" w:cs="Times New Roman"/>
          <w:sz w:val="28"/>
          <w:szCs w:val="28"/>
          <w:lang w:eastAsia="ru-RU"/>
        </w:rPr>
        <w:t xml:space="preserve">. или </w:t>
      </w:r>
      <w:r w:rsidR="003151B7" w:rsidRPr="005617FC">
        <w:rPr>
          <w:rFonts w:eastAsia="Times New Roman" w:cs="Times New Roman"/>
          <w:sz w:val="28"/>
          <w:szCs w:val="28"/>
          <w:lang w:eastAsia="ru-RU"/>
        </w:rPr>
        <w:t xml:space="preserve"> 8,95 % от НМЦК.</w:t>
      </w:r>
    </w:p>
    <w:p w:rsidR="003D5779" w:rsidRPr="005617FC" w:rsidRDefault="003D5779" w:rsidP="007D5428">
      <w:pPr>
        <w:spacing w:after="0" w:line="360" w:lineRule="auto"/>
        <w:ind w:firstLine="720"/>
        <w:jc w:val="both"/>
        <w:rPr>
          <w:rFonts w:eastAsia="Times New Roman" w:cs="Times New Roman"/>
          <w:sz w:val="28"/>
          <w:szCs w:val="28"/>
          <w:lang w:eastAsia="ru-RU"/>
        </w:rPr>
      </w:pPr>
      <w:r w:rsidRPr="005617FC">
        <w:rPr>
          <w:rFonts w:eastAsia="Times New Roman" w:cs="Times New Roman"/>
          <w:sz w:val="28"/>
          <w:szCs w:val="28"/>
          <w:lang w:eastAsia="ru-RU"/>
        </w:rPr>
        <w:t xml:space="preserve">За отчетный период заключено 2 контракта на закупку лекарственных препаратов </w:t>
      </w:r>
      <w:r w:rsidR="00B2673E" w:rsidRPr="005617FC">
        <w:rPr>
          <w:rFonts w:eastAsia="Times New Roman" w:cs="Times New Roman"/>
          <w:sz w:val="28"/>
          <w:szCs w:val="28"/>
          <w:lang w:eastAsia="ru-RU"/>
        </w:rPr>
        <w:t xml:space="preserve"> (Вакцина для профилактики клещевого энцефалита) </w:t>
      </w:r>
      <w:r w:rsidRPr="005617FC">
        <w:rPr>
          <w:rFonts w:eastAsia="Times New Roman" w:cs="Times New Roman"/>
          <w:sz w:val="28"/>
          <w:szCs w:val="28"/>
          <w:lang w:eastAsia="ru-RU"/>
        </w:rPr>
        <w:t>на  сумму 1 240 372,8 руб.</w:t>
      </w:r>
    </w:p>
    <w:p w:rsidR="00760E02" w:rsidRDefault="00760E02" w:rsidP="007D5428">
      <w:pPr>
        <w:spacing w:after="0" w:line="360" w:lineRule="auto"/>
        <w:ind w:firstLine="720"/>
        <w:jc w:val="both"/>
        <w:rPr>
          <w:rFonts w:eastAsia="Times New Roman" w:cs="Times New Roman"/>
          <w:sz w:val="28"/>
          <w:szCs w:val="28"/>
          <w:lang w:eastAsia="ru-RU"/>
        </w:rPr>
      </w:pPr>
      <w:proofErr w:type="gramStart"/>
      <w:r w:rsidRPr="005617FC">
        <w:rPr>
          <w:rFonts w:eastAsia="Times New Roman" w:cs="Times New Roman"/>
          <w:sz w:val="28"/>
          <w:szCs w:val="28"/>
          <w:lang w:eastAsia="ru-RU"/>
        </w:rPr>
        <w:t>За отчетный период заключено</w:t>
      </w:r>
      <w:r w:rsidR="005617FC" w:rsidRPr="005617FC">
        <w:rPr>
          <w:rFonts w:eastAsia="Times New Roman" w:cs="Times New Roman"/>
          <w:sz w:val="28"/>
          <w:szCs w:val="28"/>
          <w:lang w:eastAsia="ru-RU"/>
        </w:rPr>
        <w:t xml:space="preserve"> 4 контракта на строительство (КНС, </w:t>
      </w:r>
      <w:proofErr w:type="spellStart"/>
      <w:r w:rsidR="005617FC" w:rsidRPr="005617FC">
        <w:rPr>
          <w:rFonts w:eastAsia="Times New Roman" w:cs="Times New Roman"/>
          <w:sz w:val="28"/>
          <w:szCs w:val="28"/>
          <w:lang w:eastAsia="ru-RU"/>
        </w:rPr>
        <w:t>лыжероллерная</w:t>
      </w:r>
      <w:proofErr w:type="spellEnd"/>
      <w:r w:rsidR="005617FC" w:rsidRPr="005617FC">
        <w:rPr>
          <w:rFonts w:eastAsia="Times New Roman" w:cs="Times New Roman"/>
          <w:sz w:val="28"/>
          <w:szCs w:val="28"/>
          <w:lang w:eastAsia="ru-RU"/>
        </w:rPr>
        <w:t xml:space="preserve"> трасса, клуб-библиотека) и ремонт (футбольное поле спортивного объекта) на сумму 289 091 333,45 руб., </w:t>
      </w:r>
      <w:r w:rsidRPr="005617FC">
        <w:rPr>
          <w:rFonts w:eastAsia="Times New Roman" w:cs="Times New Roman"/>
          <w:sz w:val="28"/>
          <w:szCs w:val="28"/>
          <w:lang w:eastAsia="ru-RU"/>
        </w:rPr>
        <w:t xml:space="preserve"> 8 контрактов на ремонт автомобильных и обычных дорог на сумму 149 139 619,4 руб.</w:t>
      </w:r>
      <w:r w:rsidR="006D34E4" w:rsidRPr="005617FC">
        <w:rPr>
          <w:rFonts w:eastAsia="Times New Roman" w:cs="Times New Roman"/>
          <w:sz w:val="28"/>
          <w:szCs w:val="28"/>
          <w:lang w:eastAsia="ru-RU"/>
        </w:rPr>
        <w:t xml:space="preserve">, </w:t>
      </w:r>
      <w:r w:rsidR="00FB6920" w:rsidRPr="005617FC">
        <w:rPr>
          <w:rFonts w:eastAsia="Times New Roman" w:cs="Times New Roman"/>
          <w:sz w:val="28"/>
          <w:szCs w:val="28"/>
          <w:lang w:eastAsia="ru-RU"/>
        </w:rPr>
        <w:t>2 контракта на благоустройство территорий на сумму 24 515 778, 88  руб.</w:t>
      </w:r>
      <w:r w:rsidR="00EB0531" w:rsidRPr="005617FC">
        <w:rPr>
          <w:rFonts w:eastAsia="Times New Roman" w:cs="Times New Roman"/>
          <w:sz w:val="28"/>
          <w:szCs w:val="28"/>
          <w:lang w:eastAsia="ru-RU"/>
        </w:rPr>
        <w:t>, 1 контракт на озеленение на сумму 3 399 997, 16</w:t>
      </w:r>
      <w:proofErr w:type="gramEnd"/>
      <w:r w:rsidR="00EB0531" w:rsidRPr="005617FC">
        <w:rPr>
          <w:rFonts w:eastAsia="Times New Roman" w:cs="Times New Roman"/>
          <w:sz w:val="28"/>
          <w:szCs w:val="28"/>
          <w:lang w:eastAsia="ru-RU"/>
        </w:rPr>
        <w:t xml:space="preserve"> руб.</w:t>
      </w:r>
    </w:p>
    <w:p w:rsidR="006B221E" w:rsidRPr="005617FC" w:rsidRDefault="006B221E" w:rsidP="007D5428">
      <w:pPr>
        <w:spacing w:after="0" w:line="360" w:lineRule="auto"/>
        <w:ind w:firstLine="720"/>
        <w:jc w:val="both"/>
        <w:rPr>
          <w:rFonts w:eastAsia="Times New Roman" w:cs="Times New Roman"/>
          <w:sz w:val="28"/>
          <w:szCs w:val="28"/>
          <w:lang w:eastAsia="ru-RU"/>
        </w:rPr>
      </w:pPr>
      <w:r>
        <w:rPr>
          <w:rFonts w:eastAsia="Times New Roman" w:cs="Times New Roman"/>
          <w:sz w:val="28"/>
          <w:szCs w:val="28"/>
          <w:lang w:eastAsia="ru-RU"/>
        </w:rPr>
        <w:t>В 7 заключенных контрактах предоставлено преимущество организациям инвалидов, в 4 предоставлено преимущество учреждениям и предприятиям уголовно-исполнительной системы.</w:t>
      </w:r>
    </w:p>
    <w:p w:rsidR="00063248" w:rsidRDefault="00063248" w:rsidP="007D5428">
      <w:pPr>
        <w:spacing w:after="0" w:line="360" w:lineRule="auto"/>
        <w:ind w:firstLine="720"/>
        <w:jc w:val="both"/>
        <w:rPr>
          <w:rFonts w:eastAsia="Times New Roman" w:cs="Times New Roman"/>
          <w:sz w:val="28"/>
          <w:szCs w:val="28"/>
          <w:lang w:eastAsia="ru-RU"/>
        </w:rPr>
      </w:pPr>
      <w:r>
        <w:rPr>
          <w:rFonts w:eastAsia="Times New Roman" w:cs="Times New Roman"/>
          <w:sz w:val="28"/>
          <w:szCs w:val="28"/>
          <w:lang w:eastAsia="ru-RU"/>
        </w:rPr>
        <w:t>По состоянию на 1 июля 2024 года 107 контрактов находятся на стадии испо</w:t>
      </w:r>
      <w:r w:rsidR="002B202F">
        <w:rPr>
          <w:rFonts w:eastAsia="Times New Roman" w:cs="Times New Roman"/>
          <w:sz w:val="28"/>
          <w:szCs w:val="28"/>
          <w:lang w:eastAsia="ru-RU"/>
        </w:rPr>
        <w:t>лнения, по 1 контракту прекращено исполнение по соглашению сторон.</w:t>
      </w:r>
    </w:p>
    <w:p w:rsidR="00760E02" w:rsidRDefault="00760E02" w:rsidP="00141865">
      <w:pPr>
        <w:spacing w:after="0" w:line="360" w:lineRule="auto"/>
        <w:jc w:val="both"/>
        <w:rPr>
          <w:rFonts w:eastAsia="Times New Roman" w:cs="Times New Roman"/>
          <w:sz w:val="28"/>
          <w:szCs w:val="28"/>
          <w:lang w:eastAsia="ru-RU"/>
        </w:rPr>
      </w:pPr>
    </w:p>
    <w:p w:rsidR="00D17D36" w:rsidRPr="00A93F1B" w:rsidRDefault="00D17D36" w:rsidP="007D5428">
      <w:pPr>
        <w:spacing w:after="0" w:line="360" w:lineRule="auto"/>
        <w:ind w:firstLine="720"/>
        <w:jc w:val="both"/>
        <w:rPr>
          <w:rFonts w:eastAsia="Times New Roman" w:cs="Times New Roman"/>
          <w:b/>
          <w:sz w:val="28"/>
          <w:szCs w:val="28"/>
          <w:lang w:eastAsia="ru-RU"/>
        </w:rPr>
      </w:pPr>
      <w:r w:rsidRPr="00A93F1B">
        <w:rPr>
          <w:rFonts w:eastAsia="Times New Roman" w:cs="Times New Roman"/>
          <w:sz w:val="28"/>
          <w:szCs w:val="28"/>
          <w:lang w:eastAsia="ru-RU"/>
        </w:rPr>
        <w:t xml:space="preserve">Количество заключенных контрактов в разрезе муниципальных заказчиков представлено на диаграмме № 6, в разрезе цены контракта представлено на диаграмме № </w:t>
      </w:r>
      <w:r w:rsidR="00243F1A" w:rsidRPr="00A93F1B">
        <w:rPr>
          <w:rFonts w:eastAsia="Times New Roman" w:cs="Times New Roman"/>
          <w:sz w:val="28"/>
          <w:szCs w:val="28"/>
          <w:lang w:eastAsia="ru-RU"/>
        </w:rPr>
        <w:t>7</w:t>
      </w:r>
      <w:r w:rsidRPr="00A93F1B">
        <w:rPr>
          <w:rFonts w:eastAsia="Times New Roman" w:cs="Times New Roman"/>
          <w:sz w:val="28"/>
          <w:szCs w:val="28"/>
          <w:lang w:eastAsia="ru-RU"/>
        </w:rPr>
        <w:t>.</w:t>
      </w:r>
    </w:p>
    <w:p w:rsidR="004C3346" w:rsidRDefault="001D3BC3" w:rsidP="001D3BC3">
      <w:pPr>
        <w:spacing w:after="0" w:line="240" w:lineRule="auto"/>
        <w:rPr>
          <w:rFonts w:eastAsia="Times New Roman" w:cs="Times New Roman"/>
          <w:b/>
          <w:sz w:val="28"/>
          <w:szCs w:val="28"/>
          <w:lang w:eastAsia="ru-RU"/>
        </w:rPr>
      </w:pPr>
      <w:r w:rsidRPr="00A93F1B">
        <w:rPr>
          <w:rFonts w:eastAsia="Times New Roman" w:cs="Times New Roman"/>
          <w:b/>
          <w:sz w:val="28"/>
          <w:szCs w:val="28"/>
          <w:lang w:eastAsia="ru-RU"/>
        </w:rPr>
        <w:br w:type="page"/>
      </w:r>
    </w:p>
    <w:p w:rsidR="00063248" w:rsidRPr="00A93F1B" w:rsidRDefault="00063248" w:rsidP="001D3BC3">
      <w:pPr>
        <w:spacing w:after="0" w:line="240" w:lineRule="auto"/>
        <w:rPr>
          <w:rFonts w:eastAsia="Times New Roman" w:cs="Times New Roman"/>
          <w:b/>
          <w:sz w:val="28"/>
          <w:szCs w:val="28"/>
          <w:lang w:eastAsia="ru-RU"/>
        </w:rPr>
      </w:pPr>
    </w:p>
    <w:p w:rsidR="00EC2B42" w:rsidRDefault="00D125C6" w:rsidP="00CF5623">
      <w:pPr>
        <w:spacing w:after="0" w:line="240" w:lineRule="auto"/>
        <w:ind w:left="720"/>
        <w:jc w:val="right"/>
        <w:rPr>
          <w:rFonts w:eastAsia="Times New Roman" w:cs="Times New Roman"/>
          <w:b/>
          <w:sz w:val="28"/>
          <w:szCs w:val="28"/>
          <w:lang w:eastAsia="ru-RU"/>
        </w:rPr>
      </w:pPr>
      <w:r>
        <w:rPr>
          <w:rFonts w:eastAsia="Times New Roman" w:cs="Times New Roman"/>
          <w:b/>
          <w:sz w:val="28"/>
          <w:szCs w:val="28"/>
          <w:lang w:eastAsia="ru-RU"/>
        </w:rPr>
        <w:t>Диаграмма № 6</w:t>
      </w:r>
    </w:p>
    <w:p w:rsidR="00A50BA6" w:rsidRPr="00CF5623" w:rsidRDefault="00EE6656" w:rsidP="0059444D">
      <w:pPr>
        <w:spacing w:after="0" w:line="240" w:lineRule="auto"/>
        <w:rPr>
          <w:rFonts w:eastAsia="Times New Roman" w:cs="Times New Roman"/>
          <w:b/>
          <w:sz w:val="28"/>
          <w:szCs w:val="28"/>
          <w:lang w:eastAsia="ru-RU"/>
        </w:rPr>
      </w:pPr>
      <w:r>
        <w:rPr>
          <w:noProof/>
          <w:lang w:eastAsia="ru-RU"/>
        </w:rPr>
        <w:drawing>
          <wp:anchor distT="0" distB="0" distL="114300" distR="114300" simplePos="0" relativeHeight="251658240" behindDoc="0" locked="0" layoutInCell="1" allowOverlap="1" wp14:anchorId="67689408" wp14:editId="3203F576">
            <wp:simplePos x="0" y="0"/>
            <wp:positionH relativeFrom="column">
              <wp:posOffset>133350</wp:posOffset>
            </wp:positionH>
            <wp:positionV relativeFrom="paragraph">
              <wp:posOffset>336550</wp:posOffset>
            </wp:positionV>
            <wp:extent cx="6153150" cy="8401050"/>
            <wp:effectExtent l="0" t="0" r="19050" b="1905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223CA4" w:rsidRPr="004B162E" w:rsidRDefault="001D3BC3" w:rsidP="00C3175B">
      <w:pPr>
        <w:spacing w:after="0" w:line="240" w:lineRule="auto"/>
        <w:rPr>
          <w:rFonts w:eastAsia="Times New Roman" w:cs="Times New Roman"/>
          <w:sz w:val="20"/>
          <w:szCs w:val="20"/>
          <w:lang w:eastAsia="ru-RU"/>
        </w:rPr>
      </w:pPr>
      <w:r>
        <w:rPr>
          <w:rFonts w:eastAsia="Times New Roman" w:cs="Times New Roman"/>
          <w:b/>
          <w:sz w:val="28"/>
          <w:szCs w:val="28"/>
          <w:lang w:eastAsia="ru-RU"/>
        </w:rPr>
        <w:br w:type="page"/>
      </w:r>
    </w:p>
    <w:p w:rsidR="00654218" w:rsidRDefault="008319AB" w:rsidP="00A51DB1">
      <w:pPr>
        <w:spacing w:after="0" w:line="240" w:lineRule="auto"/>
        <w:jc w:val="right"/>
        <w:rPr>
          <w:rFonts w:eastAsia="Times New Roman" w:cs="Times New Roman"/>
          <w:b/>
          <w:sz w:val="28"/>
          <w:szCs w:val="28"/>
          <w:lang w:eastAsia="ru-RU"/>
        </w:rPr>
      </w:pPr>
      <w:r>
        <w:rPr>
          <w:rFonts w:eastAsia="Times New Roman" w:cs="Times New Roman"/>
          <w:b/>
          <w:sz w:val="28"/>
          <w:szCs w:val="28"/>
          <w:lang w:eastAsia="ru-RU"/>
        </w:rPr>
        <w:lastRenderedPageBreak/>
        <w:t>Диаграмма №7</w:t>
      </w:r>
    </w:p>
    <w:p w:rsidR="00A50BA6" w:rsidRDefault="00A50BA6" w:rsidP="003C7613">
      <w:pPr>
        <w:spacing w:after="0" w:line="240" w:lineRule="auto"/>
        <w:jc w:val="right"/>
        <w:rPr>
          <w:rFonts w:eastAsia="Times New Roman" w:cs="Times New Roman"/>
          <w:b/>
          <w:sz w:val="28"/>
          <w:szCs w:val="28"/>
          <w:lang w:eastAsia="ru-RU"/>
        </w:rPr>
      </w:pPr>
    </w:p>
    <w:p w:rsidR="007E7683" w:rsidRDefault="00654218" w:rsidP="007E7683">
      <w:pPr>
        <w:rPr>
          <w:rFonts w:eastAsia="Times New Roman" w:cs="Times New Roman"/>
          <w:sz w:val="28"/>
          <w:szCs w:val="28"/>
          <w:lang w:eastAsia="ru-RU"/>
        </w:rPr>
      </w:pPr>
      <w:r>
        <w:rPr>
          <w:noProof/>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6486525" cy="8601075"/>
            <wp:effectExtent l="0" t="0" r="9525" b="952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BF5719" w:rsidRDefault="00BF5719" w:rsidP="007E7683">
      <w:pPr>
        <w:rPr>
          <w:rFonts w:eastAsia="Times New Roman" w:cs="Times New Roman"/>
          <w:sz w:val="28"/>
          <w:szCs w:val="28"/>
          <w:lang w:eastAsia="ru-RU"/>
        </w:rPr>
      </w:pPr>
    </w:p>
    <w:p w:rsidR="007E7683" w:rsidRDefault="001466DC" w:rsidP="007E7683">
      <w:pPr>
        <w:spacing w:after="0" w:line="240" w:lineRule="auto"/>
        <w:ind w:left="720"/>
        <w:jc w:val="center"/>
        <w:rPr>
          <w:rFonts w:eastAsia="Times New Roman" w:cs="Times New Roman"/>
          <w:b/>
          <w:sz w:val="28"/>
          <w:szCs w:val="28"/>
          <w:lang w:eastAsia="ru-RU"/>
        </w:rPr>
      </w:pPr>
      <w:r>
        <w:rPr>
          <w:rFonts w:eastAsia="Times New Roman" w:cs="Times New Roman"/>
          <w:b/>
          <w:sz w:val="28"/>
          <w:szCs w:val="28"/>
          <w:lang w:eastAsia="ru-RU"/>
        </w:rPr>
        <w:t>6</w:t>
      </w:r>
      <w:r w:rsidR="007E7683" w:rsidRPr="00002058">
        <w:rPr>
          <w:rFonts w:eastAsia="Times New Roman" w:cs="Times New Roman"/>
          <w:b/>
          <w:sz w:val="28"/>
          <w:szCs w:val="28"/>
          <w:lang w:eastAsia="ru-RU"/>
        </w:rPr>
        <w:t xml:space="preserve">. </w:t>
      </w:r>
      <w:r w:rsidR="007E7683" w:rsidRPr="007E7683">
        <w:rPr>
          <w:rFonts w:eastAsia="Times New Roman" w:cs="Times New Roman"/>
          <w:b/>
          <w:sz w:val="28"/>
          <w:szCs w:val="28"/>
          <w:lang w:eastAsia="ru-RU"/>
        </w:rPr>
        <w:t>ЖАЛОБ</w:t>
      </w:r>
      <w:r w:rsidR="007E7683">
        <w:rPr>
          <w:rFonts w:eastAsia="Times New Roman" w:cs="Times New Roman"/>
          <w:b/>
          <w:sz w:val="28"/>
          <w:szCs w:val="28"/>
          <w:lang w:eastAsia="ru-RU"/>
        </w:rPr>
        <w:t>Ы, ПОДАННЫЕ</w:t>
      </w:r>
      <w:r w:rsidR="007E7683" w:rsidRPr="007E7683">
        <w:rPr>
          <w:rFonts w:eastAsia="Times New Roman" w:cs="Times New Roman"/>
          <w:b/>
          <w:sz w:val="28"/>
          <w:szCs w:val="28"/>
          <w:lang w:eastAsia="ru-RU"/>
        </w:rPr>
        <w:t xml:space="preserve"> УЧАСТНИКАМИ ЗАКУ</w:t>
      </w:r>
      <w:r w:rsidR="007E7683">
        <w:rPr>
          <w:rFonts w:eastAsia="Times New Roman" w:cs="Times New Roman"/>
          <w:b/>
          <w:sz w:val="28"/>
          <w:szCs w:val="28"/>
          <w:lang w:eastAsia="ru-RU"/>
        </w:rPr>
        <w:t xml:space="preserve">ПОК </w:t>
      </w:r>
      <w:r w:rsidR="00093D86">
        <w:rPr>
          <w:rFonts w:eastAsia="Times New Roman" w:cs="Times New Roman"/>
          <w:b/>
          <w:sz w:val="28"/>
          <w:szCs w:val="28"/>
          <w:lang w:eastAsia="ru-RU"/>
        </w:rPr>
        <w:t>ЗА</w:t>
      </w:r>
      <w:r w:rsidR="00E35743">
        <w:rPr>
          <w:rFonts w:eastAsia="Times New Roman" w:cs="Times New Roman"/>
          <w:b/>
          <w:sz w:val="28"/>
          <w:szCs w:val="28"/>
          <w:lang w:eastAsia="ru-RU"/>
        </w:rPr>
        <w:t xml:space="preserve">  2 </w:t>
      </w:r>
      <w:r w:rsidR="00D14212">
        <w:rPr>
          <w:rFonts w:eastAsia="Times New Roman" w:cs="Times New Roman"/>
          <w:b/>
          <w:sz w:val="28"/>
          <w:szCs w:val="28"/>
          <w:lang w:eastAsia="ru-RU"/>
        </w:rPr>
        <w:t>КВАРТАЛ</w:t>
      </w:r>
      <w:r w:rsidR="00E35743">
        <w:rPr>
          <w:rFonts w:eastAsia="Times New Roman" w:cs="Times New Roman"/>
          <w:b/>
          <w:sz w:val="28"/>
          <w:szCs w:val="28"/>
          <w:lang w:eastAsia="ru-RU"/>
        </w:rPr>
        <w:t xml:space="preserve"> </w:t>
      </w:r>
      <w:r w:rsidR="00D000C0">
        <w:rPr>
          <w:rFonts w:eastAsia="Times New Roman" w:cs="Times New Roman"/>
          <w:b/>
          <w:sz w:val="28"/>
          <w:szCs w:val="28"/>
          <w:lang w:eastAsia="ru-RU"/>
        </w:rPr>
        <w:t>2024</w:t>
      </w:r>
      <w:r w:rsidR="00A62718">
        <w:rPr>
          <w:rFonts w:eastAsia="Times New Roman" w:cs="Times New Roman"/>
          <w:b/>
          <w:sz w:val="28"/>
          <w:szCs w:val="28"/>
          <w:lang w:eastAsia="ru-RU"/>
        </w:rPr>
        <w:t xml:space="preserve"> ГОДА</w:t>
      </w:r>
    </w:p>
    <w:p w:rsidR="006640EB" w:rsidRDefault="006640EB" w:rsidP="007E7683">
      <w:pPr>
        <w:spacing w:after="0" w:line="240" w:lineRule="auto"/>
        <w:ind w:left="720"/>
        <w:jc w:val="center"/>
        <w:rPr>
          <w:rFonts w:eastAsia="Times New Roman" w:cs="Times New Roman"/>
          <w:b/>
          <w:sz w:val="28"/>
          <w:szCs w:val="28"/>
          <w:lang w:eastAsia="ru-RU"/>
        </w:rPr>
      </w:pPr>
    </w:p>
    <w:p w:rsidR="003F4649" w:rsidRPr="00A93F1B" w:rsidRDefault="008F1CF0" w:rsidP="008F1CF0">
      <w:pPr>
        <w:spacing w:after="0" w:line="360" w:lineRule="auto"/>
        <w:ind w:firstLine="709"/>
        <w:jc w:val="both"/>
        <w:rPr>
          <w:rFonts w:eastAsia="Times New Roman" w:cs="Times New Roman"/>
          <w:sz w:val="28"/>
          <w:szCs w:val="28"/>
          <w:lang w:eastAsia="ru-RU"/>
        </w:rPr>
      </w:pPr>
      <w:r w:rsidRPr="00A93F1B">
        <w:rPr>
          <w:rFonts w:eastAsia="Times New Roman" w:cs="Times New Roman"/>
          <w:sz w:val="28"/>
          <w:szCs w:val="28"/>
          <w:lang w:eastAsia="ru-RU"/>
        </w:rPr>
        <w:t>З</w:t>
      </w:r>
      <w:r w:rsidR="00381A0A" w:rsidRPr="00A93F1B">
        <w:rPr>
          <w:rFonts w:eastAsia="Times New Roman" w:cs="Times New Roman"/>
          <w:sz w:val="28"/>
          <w:szCs w:val="28"/>
          <w:lang w:eastAsia="ru-RU"/>
        </w:rPr>
        <w:t xml:space="preserve">а отчетный период по </w:t>
      </w:r>
      <w:r w:rsidR="00B848D6" w:rsidRPr="00A93F1B">
        <w:rPr>
          <w:rFonts w:eastAsia="Times New Roman" w:cs="Times New Roman"/>
          <w:sz w:val="28"/>
          <w:szCs w:val="28"/>
          <w:lang w:eastAsia="ru-RU"/>
        </w:rPr>
        <w:t>169 извещения</w:t>
      </w:r>
      <w:r w:rsidR="00DA57C6" w:rsidRPr="00A93F1B">
        <w:rPr>
          <w:rFonts w:eastAsia="Times New Roman" w:cs="Times New Roman"/>
          <w:sz w:val="28"/>
          <w:szCs w:val="28"/>
          <w:lang w:eastAsia="ru-RU"/>
        </w:rPr>
        <w:t>м</w:t>
      </w:r>
      <w:r w:rsidR="00EB3C02" w:rsidRPr="00A93F1B">
        <w:rPr>
          <w:rFonts w:eastAsia="Times New Roman" w:cs="Times New Roman"/>
          <w:sz w:val="28"/>
          <w:szCs w:val="28"/>
          <w:lang w:eastAsia="ru-RU"/>
        </w:rPr>
        <w:t xml:space="preserve"> в Управление Федеральной </w:t>
      </w:r>
      <w:r w:rsidR="00ED3F7A" w:rsidRPr="00A93F1B">
        <w:rPr>
          <w:rFonts w:eastAsia="Times New Roman" w:cs="Times New Roman"/>
          <w:sz w:val="28"/>
          <w:szCs w:val="28"/>
          <w:lang w:eastAsia="ru-RU"/>
        </w:rPr>
        <w:t>а</w:t>
      </w:r>
      <w:r w:rsidR="00EB3C02" w:rsidRPr="00A93F1B">
        <w:rPr>
          <w:rFonts w:eastAsia="Times New Roman" w:cs="Times New Roman"/>
          <w:sz w:val="28"/>
          <w:szCs w:val="28"/>
          <w:lang w:eastAsia="ru-RU"/>
        </w:rPr>
        <w:t xml:space="preserve">нтимонопольной службы по Свердловской области </w:t>
      </w:r>
      <w:r w:rsidR="000D206F" w:rsidRPr="00A93F1B">
        <w:rPr>
          <w:rFonts w:eastAsia="Times New Roman" w:cs="Times New Roman"/>
          <w:sz w:val="28"/>
          <w:szCs w:val="28"/>
          <w:lang w:eastAsia="ru-RU"/>
        </w:rPr>
        <w:t xml:space="preserve">подано </w:t>
      </w:r>
      <w:r w:rsidR="00D000C0" w:rsidRPr="00E92536">
        <w:rPr>
          <w:rFonts w:eastAsia="Times New Roman" w:cs="Times New Roman"/>
          <w:b/>
          <w:sz w:val="28"/>
          <w:szCs w:val="28"/>
          <w:lang w:eastAsia="ru-RU"/>
        </w:rPr>
        <w:t>1</w:t>
      </w:r>
      <w:r w:rsidR="00F21E8A" w:rsidRPr="00E92536">
        <w:rPr>
          <w:rFonts w:eastAsia="Times New Roman" w:cs="Times New Roman"/>
          <w:b/>
          <w:sz w:val="28"/>
          <w:szCs w:val="28"/>
          <w:lang w:eastAsia="ru-RU"/>
        </w:rPr>
        <w:t>1</w:t>
      </w:r>
      <w:r w:rsidR="000D206F" w:rsidRPr="00A93F1B">
        <w:rPr>
          <w:rFonts w:eastAsia="Times New Roman" w:cs="Times New Roman"/>
          <w:sz w:val="28"/>
          <w:szCs w:val="28"/>
          <w:lang w:eastAsia="ru-RU"/>
        </w:rPr>
        <w:t xml:space="preserve"> жалоб</w:t>
      </w:r>
      <w:r w:rsidR="00F56634" w:rsidRPr="00A93F1B">
        <w:rPr>
          <w:rFonts w:eastAsia="Times New Roman" w:cs="Times New Roman"/>
          <w:sz w:val="28"/>
          <w:szCs w:val="28"/>
          <w:lang w:eastAsia="ru-RU"/>
        </w:rPr>
        <w:t xml:space="preserve">, что составило </w:t>
      </w:r>
      <w:r w:rsidR="00F21E8A" w:rsidRPr="00A93F1B">
        <w:rPr>
          <w:rFonts w:eastAsia="Times New Roman" w:cs="Times New Roman"/>
          <w:sz w:val="28"/>
          <w:szCs w:val="28"/>
          <w:lang w:eastAsia="ru-RU"/>
        </w:rPr>
        <w:t xml:space="preserve">6,5 </w:t>
      </w:r>
      <w:r w:rsidRPr="00A93F1B">
        <w:rPr>
          <w:rFonts w:eastAsia="Times New Roman" w:cs="Times New Roman"/>
          <w:sz w:val="28"/>
          <w:szCs w:val="28"/>
          <w:lang w:eastAsia="ru-RU"/>
        </w:rPr>
        <w:t>% от общего количества закупок.</w:t>
      </w:r>
      <w:r w:rsidR="00B56D48" w:rsidRPr="00A93F1B">
        <w:rPr>
          <w:rFonts w:eastAsia="Times New Roman" w:cs="Times New Roman"/>
          <w:sz w:val="28"/>
          <w:szCs w:val="28"/>
          <w:lang w:eastAsia="ru-RU"/>
        </w:rPr>
        <w:t xml:space="preserve"> Объекты закупок и жалоб приведены в таблице № 3.</w:t>
      </w:r>
    </w:p>
    <w:p w:rsidR="00EF0FD7" w:rsidRPr="00275CA4" w:rsidRDefault="005A6FFE" w:rsidP="00932E30">
      <w:pPr>
        <w:spacing w:after="0" w:line="240" w:lineRule="auto"/>
        <w:ind w:left="720"/>
        <w:jc w:val="right"/>
        <w:rPr>
          <w:rFonts w:eastAsia="Times New Roman" w:cs="Times New Roman"/>
          <w:b/>
          <w:sz w:val="28"/>
          <w:szCs w:val="28"/>
          <w:lang w:eastAsia="ru-RU"/>
        </w:rPr>
      </w:pPr>
      <w:r w:rsidRPr="00275CA4">
        <w:rPr>
          <w:rFonts w:eastAsia="Times New Roman" w:cs="Times New Roman"/>
          <w:b/>
          <w:sz w:val="28"/>
          <w:szCs w:val="28"/>
          <w:lang w:eastAsia="ru-RU"/>
        </w:rPr>
        <w:t xml:space="preserve">Таблица </w:t>
      </w:r>
      <w:r w:rsidR="00CF5623">
        <w:rPr>
          <w:rFonts w:eastAsia="Times New Roman" w:cs="Times New Roman"/>
          <w:b/>
          <w:sz w:val="28"/>
          <w:szCs w:val="28"/>
          <w:lang w:eastAsia="ru-RU"/>
        </w:rPr>
        <w:t>№3</w:t>
      </w:r>
    </w:p>
    <w:tbl>
      <w:tblPr>
        <w:tblStyle w:val="ac"/>
        <w:tblW w:w="10631" w:type="dxa"/>
        <w:tblInd w:w="108" w:type="dxa"/>
        <w:shd w:val="clear" w:color="auto" w:fill="EEECE1" w:themeFill="background2"/>
        <w:tblLayout w:type="fixed"/>
        <w:tblLook w:val="04A0" w:firstRow="1" w:lastRow="0" w:firstColumn="1" w:lastColumn="0" w:noHBand="0" w:noVBand="1"/>
      </w:tblPr>
      <w:tblGrid>
        <w:gridCol w:w="709"/>
        <w:gridCol w:w="3827"/>
        <w:gridCol w:w="1276"/>
        <w:gridCol w:w="2835"/>
        <w:gridCol w:w="1984"/>
      </w:tblGrid>
      <w:tr w:rsidR="00EF0FD7" w:rsidRPr="0090324A" w:rsidTr="00A93F1B">
        <w:trPr>
          <w:trHeight w:val="699"/>
          <w:tblHeader/>
        </w:trPr>
        <w:tc>
          <w:tcPr>
            <w:tcW w:w="709" w:type="dxa"/>
            <w:shd w:val="clear" w:color="auto" w:fill="EEECE1" w:themeFill="background2"/>
            <w:vAlign w:val="center"/>
          </w:tcPr>
          <w:p w:rsidR="00EF0FD7" w:rsidRPr="0090324A" w:rsidRDefault="00EF0FD7" w:rsidP="0090324A">
            <w:pPr>
              <w:widowControl w:val="0"/>
              <w:spacing w:after="0" w:line="240" w:lineRule="auto"/>
              <w:jc w:val="center"/>
              <w:rPr>
                <w:sz w:val="24"/>
                <w:szCs w:val="24"/>
              </w:rPr>
            </w:pPr>
            <w:r w:rsidRPr="0090324A">
              <w:rPr>
                <w:sz w:val="24"/>
                <w:szCs w:val="24"/>
              </w:rPr>
              <w:t xml:space="preserve">№ </w:t>
            </w:r>
            <w:proofErr w:type="gramStart"/>
            <w:r w:rsidRPr="0090324A">
              <w:rPr>
                <w:sz w:val="24"/>
                <w:szCs w:val="24"/>
              </w:rPr>
              <w:t>п</w:t>
            </w:r>
            <w:proofErr w:type="gramEnd"/>
            <w:r w:rsidRPr="0090324A">
              <w:rPr>
                <w:sz w:val="24"/>
                <w:szCs w:val="24"/>
              </w:rPr>
              <w:t>/п</w:t>
            </w:r>
          </w:p>
        </w:tc>
        <w:tc>
          <w:tcPr>
            <w:tcW w:w="3827" w:type="dxa"/>
            <w:shd w:val="clear" w:color="auto" w:fill="EEECE1" w:themeFill="background2"/>
            <w:vAlign w:val="center"/>
          </w:tcPr>
          <w:p w:rsidR="00EF0FD7" w:rsidRPr="0090324A" w:rsidRDefault="00EF0FD7" w:rsidP="0090324A">
            <w:pPr>
              <w:widowControl w:val="0"/>
              <w:spacing w:after="0" w:line="240" w:lineRule="auto"/>
              <w:jc w:val="center"/>
              <w:rPr>
                <w:sz w:val="24"/>
                <w:szCs w:val="24"/>
              </w:rPr>
            </w:pPr>
            <w:r w:rsidRPr="0090324A">
              <w:rPr>
                <w:sz w:val="24"/>
                <w:szCs w:val="24"/>
              </w:rPr>
              <w:t>Объект закупки</w:t>
            </w:r>
          </w:p>
        </w:tc>
        <w:tc>
          <w:tcPr>
            <w:tcW w:w="1276" w:type="dxa"/>
            <w:shd w:val="clear" w:color="auto" w:fill="EEECE1" w:themeFill="background2"/>
            <w:vAlign w:val="center"/>
          </w:tcPr>
          <w:p w:rsidR="00EF0FD7" w:rsidRPr="0090324A" w:rsidRDefault="00EF0FD7" w:rsidP="0090324A">
            <w:pPr>
              <w:widowControl w:val="0"/>
              <w:spacing w:after="0" w:line="240" w:lineRule="auto"/>
              <w:jc w:val="center"/>
              <w:rPr>
                <w:sz w:val="24"/>
                <w:szCs w:val="24"/>
              </w:rPr>
            </w:pPr>
            <w:r w:rsidRPr="0090324A">
              <w:rPr>
                <w:sz w:val="24"/>
                <w:szCs w:val="24"/>
              </w:rPr>
              <w:t>Кол-во жалоб</w:t>
            </w:r>
          </w:p>
        </w:tc>
        <w:tc>
          <w:tcPr>
            <w:tcW w:w="2835" w:type="dxa"/>
            <w:shd w:val="clear" w:color="auto" w:fill="EEECE1" w:themeFill="background2"/>
            <w:vAlign w:val="center"/>
          </w:tcPr>
          <w:p w:rsidR="00EF0FD7" w:rsidRPr="0090324A" w:rsidRDefault="00EF0FD7" w:rsidP="0090324A">
            <w:pPr>
              <w:widowControl w:val="0"/>
              <w:spacing w:after="0" w:line="240" w:lineRule="auto"/>
              <w:jc w:val="center"/>
              <w:rPr>
                <w:sz w:val="24"/>
                <w:szCs w:val="24"/>
              </w:rPr>
            </w:pPr>
            <w:r w:rsidRPr="0090324A">
              <w:rPr>
                <w:sz w:val="24"/>
                <w:szCs w:val="24"/>
              </w:rPr>
              <w:t>Объект жалобы</w:t>
            </w:r>
          </w:p>
        </w:tc>
        <w:tc>
          <w:tcPr>
            <w:tcW w:w="1984" w:type="dxa"/>
            <w:shd w:val="clear" w:color="auto" w:fill="EEECE1" w:themeFill="background2"/>
            <w:vAlign w:val="center"/>
          </w:tcPr>
          <w:p w:rsidR="00EF0FD7" w:rsidRPr="0090324A" w:rsidRDefault="00EF0FD7" w:rsidP="0090324A">
            <w:pPr>
              <w:widowControl w:val="0"/>
              <w:spacing w:after="0" w:line="240" w:lineRule="auto"/>
              <w:jc w:val="center"/>
              <w:rPr>
                <w:sz w:val="24"/>
                <w:szCs w:val="24"/>
              </w:rPr>
            </w:pPr>
            <w:r w:rsidRPr="0090324A">
              <w:rPr>
                <w:sz w:val="24"/>
                <w:szCs w:val="24"/>
              </w:rPr>
              <w:t>Результат рассмотрения</w:t>
            </w:r>
          </w:p>
        </w:tc>
      </w:tr>
      <w:tr w:rsidR="00EF0FD7" w:rsidRPr="0090324A" w:rsidTr="00A93F1B">
        <w:trPr>
          <w:trHeight w:val="70"/>
          <w:tblHeader/>
        </w:trPr>
        <w:tc>
          <w:tcPr>
            <w:tcW w:w="709" w:type="dxa"/>
            <w:shd w:val="clear" w:color="auto" w:fill="EEECE1" w:themeFill="background2"/>
            <w:vAlign w:val="center"/>
          </w:tcPr>
          <w:p w:rsidR="00EF0FD7" w:rsidRPr="0090324A" w:rsidRDefault="00EF0FD7" w:rsidP="0090324A">
            <w:pPr>
              <w:widowControl w:val="0"/>
              <w:spacing w:after="0" w:line="240" w:lineRule="auto"/>
              <w:jc w:val="center"/>
              <w:rPr>
                <w:rFonts w:eastAsia="Times New Roman" w:cs="Times New Roman"/>
                <w:sz w:val="24"/>
                <w:szCs w:val="24"/>
                <w:lang w:eastAsia="ru-RU"/>
              </w:rPr>
            </w:pPr>
            <w:r w:rsidRPr="0090324A">
              <w:rPr>
                <w:rFonts w:eastAsia="Times New Roman" w:cs="Times New Roman"/>
                <w:sz w:val="24"/>
                <w:szCs w:val="24"/>
                <w:lang w:eastAsia="ru-RU"/>
              </w:rPr>
              <w:t>1</w:t>
            </w:r>
          </w:p>
        </w:tc>
        <w:tc>
          <w:tcPr>
            <w:tcW w:w="3827" w:type="dxa"/>
            <w:shd w:val="clear" w:color="auto" w:fill="EEECE1" w:themeFill="background2"/>
            <w:vAlign w:val="center"/>
          </w:tcPr>
          <w:p w:rsidR="00EF0FD7" w:rsidRPr="0090324A" w:rsidRDefault="00EF0FD7" w:rsidP="0090324A">
            <w:pPr>
              <w:widowControl w:val="0"/>
              <w:spacing w:after="0" w:line="240" w:lineRule="auto"/>
              <w:jc w:val="center"/>
              <w:rPr>
                <w:rFonts w:eastAsia="Times New Roman" w:cs="Times New Roman"/>
                <w:sz w:val="24"/>
                <w:szCs w:val="24"/>
                <w:lang w:eastAsia="ru-RU"/>
              </w:rPr>
            </w:pPr>
            <w:r w:rsidRPr="0090324A">
              <w:rPr>
                <w:rFonts w:eastAsia="Times New Roman" w:cs="Times New Roman"/>
                <w:sz w:val="24"/>
                <w:szCs w:val="24"/>
                <w:lang w:eastAsia="ru-RU"/>
              </w:rPr>
              <w:t>2</w:t>
            </w:r>
          </w:p>
        </w:tc>
        <w:tc>
          <w:tcPr>
            <w:tcW w:w="1276" w:type="dxa"/>
            <w:shd w:val="clear" w:color="auto" w:fill="EEECE1" w:themeFill="background2"/>
            <w:vAlign w:val="center"/>
          </w:tcPr>
          <w:p w:rsidR="00EF0FD7" w:rsidRPr="0090324A" w:rsidRDefault="00EF0FD7" w:rsidP="0090324A">
            <w:pPr>
              <w:widowControl w:val="0"/>
              <w:spacing w:after="0" w:line="240" w:lineRule="auto"/>
              <w:jc w:val="center"/>
              <w:rPr>
                <w:rFonts w:eastAsia="Times New Roman" w:cs="Times New Roman"/>
                <w:sz w:val="24"/>
                <w:szCs w:val="24"/>
                <w:lang w:eastAsia="ru-RU"/>
              </w:rPr>
            </w:pPr>
            <w:r w:rsidRPr="0090324A">
              <w:rPr>
                <w:rFonts w:eastAsia="Times New Roman" w:cs="Times New Roman"/>
                <w:sz w:val="24"/>
                <w:szCs w:val="24"/>
                <w:lang w:eastAsia="ru-RU"/>
              </w:rPr>
              <w:t>3</w:t>
            </w:r>
          </w:p>
        </w:tc>
        <w:tc>
          <w:tcPr>
            <w:tcW w:w="2835" w:type="dxa"/>
            <w:shd w:val="clear" w:color="auto" w:fill="EEECE1" w:themeFill="background2"/>
            <w:vAlign w:val="center"/>
          </w:tcPr>
          <w:p w:rsidR="00EF0FD7" w:rsidRPr="0090324A" w:rsidRDefault="00EF0FD7" w:rsidP="0090324A">
            <w:pPr>
              <w:widowControl w:val="0"/>
              <w:spacing w:after="0" w:line="240" w:lineRule="auto"/>
              <w:jc w:val="center"/>
              <w:rPr>
                <w:rFonts w:eastAsia="Times New Roman" w:cs="Times New Roman"/>
                <w:sz w:val="24"/>
                <w:szCs w:val="24"/>
                <w:lang w:eastAsia="ru-RU"/>
              </w:rPr>
            </w:pPr>
            <w:r w:rsidRPr="0090324A">
              <w:rPr>
                <w:rFonts w:eastAsia="Times New Roman" w:cs="Times New Roman"/>
                <w:sz w:val="24"/>
                <w:szCs w:val="24"/>
                <w:lang w:eastAsia="ru-RU"/>
              </w:rPr>
              <w:t>4</w:t>
            </w:r>
          </w:p>
        </w:tc>
        <w:tc>
          <w:tcPr>
            <w:tcW w:w="1984" w:type="dxa"/>
            <w:shd w:val="clear" w:color="auto" w:fill="EEECE1" w:themeFill="background2"/>
            <w:vAlign w:val="center"/>
          </w:tcPr>
          <w:p w:rsidR="00EF0FD7" w:rsidRPr="0090324A" w:rsidRDefault="00EF0FD7" w:rsidP="0090324A">
            <w:pPr>
              <w:widowControl w:val="0"/>
              <w:spacing w:after="0" w:line="240" w:lineRule="auto"/>
              <w:jc w:val="center"/>
              <w:rPr>
                <w:rFonts w:eastAsia="Times New Roman" w:cs="Times New Roman"/>
                <w:sz w:val="24"/>
                <w:szCs w:val="24"/>
                <w:lang w:eastAsia="ru-RU"/>
              </w:rPr>
            </w:pPr>
            <w:r w:rsidRPr="0090324A">
              <w:rPr>
                <w:rFonts w:eastAsia="Times New Roman" w:cs="Times New Roman"/>
                <w:sz w:val="24"/>
                <w:szCs w:val="24"/>
                <w:lang w:eastAsia="ru-RU"/>
              </w:rPr>
              <w:t>5</w:t>
            </w:r>
          </w:p>
        </w:tc>
      </w:tr>
      <w:tr w:rsidR="00EF0FD7" w:rsidRPr="0090324A" w:rsidTr="00A93F1B">
        <w:tc>
          <w:tcPr>
            <w:tcW w:w="709" w:type="dxa"/>
            <w:shd w:val="clear" w:color="auto" w:fill="EEECE1" w:themeFill="background2"/>
            <w:vAlign w:val="center"/>
          </w:tcPr>
          <w:p w:rsidR="00EF0FD7" w:rsidRPr="0090324A" w:rsidRDefault="008F1CF0"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827" w:type="dxa"/>
            <w:shd w:val="clear" w:color="auto" w:fill="EEECE1" w:themeFill="background2"/>
            <w:vAlign w:val="center"/>
          </w:tcPr>
          <w:p w:rsidR="00EF0FD7" w:rsidRPr="0090324A" w:rsidRDefault="00D000C0" w:rsidP="00074249">
            <w:pPr>
              <w:widowControl w:val="0"/>
              <w:tabs>
                <w:tab w:val="left" w:pos="971"/>
              </w:tabs>
              <w:spacing w:after="0" w:line="240" w:lineRule="auto"/>
              <w:jc w:val="both"/>
              <w:rPr>
                <w:rFonts w:eastAsia="Times New Roman" w:cs="Times New Roman"/>
                <w:sz w:val="24"/>
                <w:szCs w:val="24"/>
                <w:lang w:eastAsia="ru-RU"/>
              </w:rPr>
            </w:pPr>
            <w:r w:rsidRPr="00D000C0">
              <w:rPr>
                <w:rFonts w:eastAsia="Times New Roman" w:cs="Times New Roman"/>
                <w:sz w:val="24"/>
                <w:szCs w:val="24"/>
                <w:lang w:eastAsia="ru-RU"/>
              </w:rPr>
              <w:t>Поставка и монтаж модульного здания контейнерного типа</w:t>
            </w:r>
          </w:p>
        </w:tc>
        <w:tc>
          <w:tcPr>
            <w:tcW w:w="1276" w:type="dxa"/>
            <w:shd w:val="clear" w:color="auto" w:fill="EEECE1" w:themeFill="background2"/>
            <w:vAlign w:val="center"/>
          </w:tcPr>
          <w:p w:rsidR="00EF0FD7" w:rsidRPr="0090324A" w:rsidRDefault="008F1CF0"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835" w:type="dxa"/>
            <w:shd w:val="clear" w:color="auto" w:fill="EEECE1" w:themeFill="background2"/>
            <w:vAlign w:val="center"/>
          </w:tcPr>
          <w:p w:rsidR="00EF0FD7" w:rsidRPr="0090324A" w:rsidRDefault="00D000C0" w:rsidP="00074249">
            <w:pPr>
              <w:widowControl w:val="0"/>
              <w:tabs>
                <w:tab w:val="left" w:pos="971"/>
              </w:tabs>
              <w:spacing w:after="0" w:line="240" w:lineRule="auto"/>
              <w:jc w:val="both"/>
              <w:rPr>
                <w:rFonts w:eastAsia="Times New Roman" w:cs="Times New Roman"/>
                <w:sz w:val="24"/>
                <w:szCs w:val="24"/>
                <w:lang w:eastAsia="ru-RU"/>
              </w:rPr>
            </w:pPr>
            <w:r w:rsidRPr="00D000C0">
              <w:rPr>
                <w:rFonts w:eastAsia="Times New Roman" w:cs="Times New Roman"/>
                <w:sz w:val="24"/>
                <w:szCs w:val="24"/>
                <w:lang w:eastAsia="ru-RU"/>
              </w:rPr>
              <w:t xml:space="preserve">Заказчик отклонил заявку участника </w:t>
            </w:r>
            <w:proofErr w:type="gramStart"/>
            <w:r w:rsidRPr="00D000C0">
              <w:rPr>
                <w:rFonts w:eastAsia="Times New Roman" w:cs="Times New Roman"/>
                <w:sz w:val="24"/>
                <w:szCs w:val="24"/>
                <w:lang w:eastAsia="ru-RU"/>
              </w:rPr>
              <w:t>из</w:t>
            </w:r>
            <w:proofErr w:type="gramEnd"/>
            <w:r w:rsidRPr="00D000C0">
              <w:rPr>
                <w:rFonts w:eastAsia="Times New Roman" w:cs="Times New Roman"/>
                <w:sz w:val="24"/>
                <w:szCs w:val="24"/>
                <w:lang w:eastAsia="ru-RU"/>
              </w:rPr>
              <w:t xml:space="preserve"> </w:t>
            </w:r>
            <w:proofErr w:type="gramStart"/>
            <w:r w:rsidRPr="00D000C0">
              <w:rPr>
                <w:rFonts w:eastAsia="Times New Roman" w:cs="Times New Roman"/>
                <w:sz w:val="24"/>
                <w:szCs w:val="24"/>
                <w:lang w:eastAsia="ru-RU"/>
              </w:rPr>
              <w:t>за</w:t>
            </w:r>
            <w:proofErr w:type="gramEnd"/>
            <w:r w:rsidRPr="00D000C0">
              <w:rPr>
                <w:rFonts w:eastAsia="Times New Roman" w:cs="Times New Roman"/>
                <w:sz w:val="24"/>
                <w:szCs w:val="24"/>
                <w:lang w:eastAsia="ru-RU"/>
              </w:rPr>
              <w:t xml:space="preserve"> Несоответствие участника закупки требованиям, установленным в извещении об осуществлении закупки в соответствии с ч. 2.1 ст. 31 Закона № 44-ФЗ (Отклонение по п. 3 ч. 12 ст. 48 Закона № 44-ФЗ). В соответствии с ч. 2.1 ст. 31 установлено требование об исполнении участником закупки контракта или договора, заключенного по 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Участником предоставлен контракт, по которому выставлено требование об уплате неустойки, которое не исполнено участником закупки – неустойка списана. При это заказчик не  учел Письмо Министерства финансов </w:t>
            </w:r>
            <w:r w:rsidRPr="00D000C0">
              <w:rPr>
                <w:rFonts w:eastAsia="Times New Roman" w:cs="Times New Roman"/>
                <w:sz w:val="24"/>
                <w:szCs w:val="24"/>
                <w:lang w:eastAsia="ru-RU"/>
              </w:rPr>
              <w:lastRenderedPageBreak/>
              <w:t xml:space="preserve">от 30.01.2023 - в </w:t>
            </w:r>
            <w:proofErr w:type="gramStart"/>
            <w:r w:rsidRPr="00D000C0">
              <w:rPr>
                <w:rFonts w:eastAsia="Times New Roman" w:cs="Times New Roman"/>
                <w:sz w:val="24"/>
                <w:szCs w:val="24"/>
                <w:lang w:eastAsia="ru-RU"/>
              </w:rPr>
              <w:t>соответствии</w:t>
            </w:r>
            <w:proofErr w:type="gramEnd"/>
            <w:r w:rsidRPr="00D000C0">
              <w:rPr>
                <w:rFonts w:eastAsia="Times New Roman" w:cs="Times New Roman"/>
                <w:sz w:val="24"/>
                <w:szCs w:val="24"/>
                <w:lang w:eastAsia="ru-RU"/>
              </w:rPr>
              <w:t xml:space="preserve"> с которым: : "контракт, по которому списаны начисленные поставщику (подрядчику, исполнителю) суммы неустоек (штрафов, пеней) в соответствии с Постановлением N 783, может учитываться в качестве документа, подтверждающего соответствие участника закупки установленному дополнительному требованию."    </w:t>
            </w:r>
          </w:p>
        </w:tc>
        <w:tc>
          <w:tcPr>
            <w:tcW w:w="1984" w:type="dxa"/>
            <w:shd w:val="clear" w:color="auto" w:fill="EEECE1" w:themeFill="background2"/>
            <w:vAlign w:val="center"/>
          </w:tcPr>
          <w:p w:rsidR="00EF0FD7" w:rsidRPr="0090324A" w:rsidRDefault="00D000C0" w:rsidP="00074249">
            <w:pPr>
              <w:widowControl w:val="0"/>
              <w:tabs>
                <w:tab w:val="left" w:pos="971"/>
              </w:tabs>
              <w:spacing w:after="0" w:line="240" w:lineRule="auto"/>
              <w:jc w:val="both"/>
              <w:rPr>
                <w:rFonts w:eastAsia="Times New Roman" w:cs="Times New Roman"/>
                <w:sz w:val="24"/>
                <w:szCs w:val="24"/>
                <w:lang w:eastAsia="ru-RU"/>
              </w:rPr>
            </w:pPr>
            <w:r>
              <w:rPr>
                <w:rFonts w:eastAsia="Times New Roman" w:cs="Times New Roman"/>
                <w:sz w:val="24"/>
                <w:szCs w:val="24"/>
                <w:lang w:eastAsia="ru-RU"/>
              </w:rPr>
              <w:lastRenderedPageBreak/>
              <w:t>Отзыв жалобы поставщиком</w:t>
            </w:r>
          </w:p>
        </w:tc>
      </w:tr>
      <w:tr w:rsidR="00F63811" w:rsidRPr="0090324A" w:rsidTr="00A93F1B">
        <w:tc>
          <w:tcPr>
            <w:tcW w:w="709" w:type="dxa"/>
            <w:shd w:val="clear" w:color="auto" w:fill="EEECE1" w:themeFill="background2"/>
            <w:vAlign w:val="center"/>
          </w:tcPr>
          <w:p w:rsidR="00F63811" w:rsidRDefault="00D000C0"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2</w:t>
            </w:r>
          </w:p>
        </w:tc>
        <w:tc>
          <w:tcPr>
            <w:tcW w:w="3827" w:type="dxa"/>
            <w:shd w:val="clear" w:color="auto" w:fill="EEECE1" w:themeFill="background2"/>
            <w:vAlign w:val="center"/>
          </w:tcPr>
          <w:p w:rsidR="00F63811" w:rsidRPr="0090324A" w:rsidRDefault="00D000C0" w:rsidP="00074249">
            <w:pPr>
              <w:widowControl w:val="0"/>
              <w:tabs>
                <w:tab w:val="left" w:pos="971"/>
              </w:tabs>
              <w:spacing w:after="0" w:line="240" w:lineRule="auto"/>
              <w:jc w:val="both"/>
              <w:rPr>
                <w:rFonts w:eastAsia="Times New Roman" w:cs="Times New Roman"/>
                <w:sz w:val="24"/>
                <w:szCs w:val="24"/>
                <w:lang w:eastAsia="ru-RU"/>
              </w:rPr>
            </w:pPr>
            <w:proofErr w:type="gramStart"/>
            <w:r w:rsidRPr="00D000C0">
              <w:rPr>
                <w:rFonts w:eastAsia="Times New Roman" w:cs="Times New Roman"/>
                <w:sz w:val="24"/>
                <w:szCs w:val="24"/>
                <w:lang w:eastAsia="ru-RU"/>
              </w:rPr>
              <w:t>Ремонт автомобильных дорог общего пользования местного значения в г. Верхняя Пышма, ул. Бажова, ул. Калинина, проезд от ул. Лермонтова до ул. Мичурина, проезд от ул. Лесная до ул. Центральная с примыканием ул. Луговая</w:t>
            </w:r>
            <w:proofErr w:type="gramEnd"/>
          </w:p>
        </w:tc>
        <w:tc>
          <w:tcPr>
            <w:tcW w:w="1276" w:type="dxa"/>
            <w:shd w:val="clear" w:color="auto" w:fill="EEECE1" w:themeFill="background2"/>
            <w:vAlign w:val="center"/>
          </w:tcPr>
          <w:p w:rsidR="00F63811" w:rsidRDefault="00D000C0"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835" w:type="dxa"/>
            <w:shd w:val="clear" w:color="auto" w:fill="EEECE1" w:themeFill="background2"/>
            <w:vAlign w:val="center"/>
          </w:tcPr>
          <w:p w:rsidR="00F63811" w:rsidRPr="0090324A" w:rsidRDefault="00D000C0" w:rsidP="00074249">
            <w:pPr>
              <w:widowControl w:val="0"/>
              <w:tabs>
                <w:tab w:val="left" w:pos="971"/>
              </w:tabs>
              <w:spacing w:after="0" w:line="240" w:lineRule="auto"/>
              <w:jc w:val="both"/>
              <w:rPr>
                <w:rFonts w:eastAsia="Times New Roman" w:cs="Times New Roman"/>
                <w:sz w:val="24"/>
                <w:szCs w:val="24"/>
                <w:lang w:eastAsia="ru-RU"/>
              </w:rPr>
            </w:pPr>
            <w:r w:rsidRPr="00D000C0">
              <w:rPr>
                <w:rFonts w:eastAsia="Times New Roman" w:cs="Times New Roman"/>
                <w:sz w:val="24"/>
                <w:szCs w:val="24"/>
                <w:lang w:eastAsia="ru-RU"/>
              </w:rPr>
              <w:t>По нашему мнению, Заказчик не обосновал срок гарантии качества работ</w:t>
            </w:r>
          </w:p>
        </w:tc>
        <w:tc>
          <w:tcPr>
            <w:tcW w:w="1984" w:type="dxa"/>
            <w:shd w:val="clear" w:color="auto" w:fill="EEECE1" w:themeFill="background2"/>
            <w:vAlign w:val="center"/>
          </w:tcPr>
          <w:p w:rsidR="00F63811" w:rsidRDefault="00D000C0" w:rsidP="00074249">
            <w:pPr>
              <w:widowControl w:val="0"/>
              <w:tabs>
                <w:tab w:val="left" w:pos="971"/>
              </w:tabs>
              <w:spacing w:after="0" w:line="240" w:lineRule="auto"/>
              <w:jc w:val="both"/>
              <w:rPr>
                <w:rFonts w:eastAsia="Times New Roman" w:cs="Times New Roman"/>
                <w:sz w:val="24"/>
                <w:szCs w:val="24"/>
                <w:lang w:eastAsia="ru-RU"/>
              </w:rPr>
            </w:pPr>
            <w:r>
              <w:rPr>
                <w:rFonts w:eastAsia="Times New Roman" w:cs="Times New Roman"/>
                <w:sz w:val="24"/>
                <w:szCs w:val="24"/>
                <w:lang w:eastAsia="ru-RU"/>
              </w:rPr>
              <w:t>Отказано в рассмотрении</w:t>
            </w:r>
          </w:p>
        </w:tc>
      </w:tr>
      <w:tr w:rsidR="00F63811" w:rsidRPr="0090324A" w:rsidTr="00A93F1B">
        <w:tc>
          <w:tcPr>
            <w:tcW w:w="709" w:type="dxa"/>
            <w:shd w:val="clear" w:color="auto" w:fill="EEECE1" w:themeFill="background2"/>
            <w:vAlign w:val="center"/>
          </w:tcPr>
          <w:p w:rsidR="00F63811" w:rsidRDefault="00D000C0"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3</w:t>
            </w:r>
          </w:p>
        </w:tc>
        <w:tc>
          <w:tcPr>
            <w:tcW w:w="3827" w:type="dxa"/>
            <w:shd w:val="clear" w:color="auto" w:fill="EEECE1" w:themeFill="background2"/>
            <w:vAlign w:val="center"/>
          </w:tcPr>
          <w:p w:rsidR="00F63811" w:rsidRPr="00AE6ECF" w:rsidRDefault="00D000C0" w:rsidP="00074249">
            <w:pPr>
              <w:widowControl w:val="0"/>
              <w:tabs>
                <w:tab w:val="left" w:pos="971"/>
              </w:tabs>
              <w:spacing w:after="0" w:line="240" w:lineRule="auto"/>
              <w:jc w:val="both"/>
              <w:rPr>
                <w:rFonts w:eastAsia="Times New Roman" w:cs="Times New Roman"/>
                <w:color w:val="00B050"/>
                <w:sz w:val="24"/>
                <w:szCs w:val="24"/>
                <w:lang w:eastAsia="ru-RU"/>
              </w:rPr>
            </w:pPr>
            <w:r w:rsidRPr="003E5CDA">
              <w:rPr>
                <w:rFonts w:eastAsia="Times New Roman" w:cs="Times New Roman"/>
                <w:sz w:val="24"/>
                <w:szCs w:val="24"/>
                <w:lang w:eastAsia="ru-RU"/>
              </w:rPr>
              <w:t xml:space="preserve">Строительство второй очереди спортивного комплекса с </w:t>
            </w:r>
            <w:proofErr w:type="spellStart"/>
            <w:r w:rsidRPr="003E5CDA">
              <w:rPr>
                <w:rFonts w:eastAsia="Times New Roman" w:cs="Times New Roman"/>
                <w:sz w:val="24"/>
                <w:szCs w:val="24"/>
                <w:lang w:eastAsia="ru-RU"/>
              </w:rPr>
              <w:t>лыжероллерной</w:t>
            </w:r>
            <w:proofErr w:type="spellEnd"/>
            <w:r w:rsidRPr="003E5CDA">
              <w:rPr>
                <w:rFonts w:eastAsia="Times New Roman" w:cs="Times New Roman"/>
                <w:sz w:val="24"/>
                <w:szCs w:val="24"/>
                <w:lang w:eastAsia="ru-RU"/>
              </w:rPr>
              <w:t xml:space="preserve"> трассой на территории ГО Верхняя Пышма</w:t>
            </w:r>
          </w:p>
        </w:tc>
        <w:tc>
          <w:tcPr>
            <w:tcW w:w="1276" w:type="dxa"/>
            <w:shd w:val="clear" w:color="auto" w:fill="EEECE1" w:themeFill="background2"/>
            <w:vAlign w:val="center"/>
          </w:tcPr>
          <w:p w:rsidR="00F63811" w:rsidRDefault="00D000C0"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835" w:type="dxa"/>
            <w:shd w:val="clear" w:color="auto" w:fill="EEECE1" w:themeFill="background2"/>
            <w:vAlign w:val="center"/>
          </w:tcPr>
          <w:p w:rsidR="00D000C0" w:rsidRPr="00D000C0" w:rsidRDefault="00D000C0" w:rsidP="00D000C0">
            <w:pPr>
              <w:widowControl w:val="0"/>
              <w:tabs>
                <w:tab w:val="left" w:pos="971"/>
              </w:tabs>
              <w:spacing w:after="0" w:line="240" w:lineRule="auto"/>
              <w:jc w:val="both"/>
              <w:rPr>
                <w:rFonts w:eastAsia="Times New Roman" w:cs="Times New Roman"/>
                <w:sz w:val="24"/>
                <w:szCs w:val="24"/>
                <w:lang w:eastAsia="ru-RU"/>
              </w:rPr>
            </w:pPr>
            <w:r w:rsidRPr="00D000C0">
              <w:rPr>
                <w:rFonts w:eastAsia="Times New Roman" w:cs="Times New Roman"/>
                <w:sz w:val="24"/>
                <w:szCs w:val="24"/>
                <w:lang w:eastAsia="ru-RU"/>
              </w:rPr>
              <w:t>При изучении извещения об осуществлении закупки нами были выявлены следующие нарушения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по тексту - Закон № 44-ФЗ).</w:t>
            </w:r>
          </w:p>
          <w:p w:rsidR="00F63811" w:rsidRPr="0090324A" w:rsidRDefault="00D000C0" w:rsidP="00D000C0">
            <w:pPr>
              <w:widowControl w:val="0"/>
              <w:tabs>
                <w:tab w:val="left" w:pos="971"/>
              </w:tabs>
              <w:spacing w:after="0" w:line="240" w:lineRule="auto"/>
              <w:jc w:val="both"/>
              <w:rPr>
                <w:rFonts w:eastAsia="Times New Roman" w:cs="Times New Roman"/>
                <w:sz w:val="24"/>
                <w:szCs w:val="24"/>
                <w:lang w:eastAsia="ru-RU"/>
              </w:rPr>
            </w:pPr>
            <w:r w:rsidRPr="00D000C0">
              <w:rPr>
                <w:rFonts w:eastAsia="Times New Roman" w:cs="Times New Roman"/>
                <w:sz w:val="24"/>
                <w:szCs w:val="24"/>
                <w:lang w:eastAsia="ru-RU"/>
              </w:rPr>
              <w:t>Заказчиком необоснованно установлены дополнительные требования к участникам закупки в соответствии с позицией 8 раздела II приложения к ПП РФ от 29.12.2021 № 2571.</w:t>
            </w:r>
          </w:p>
        </w:tc>
        <w:tc>
          <w:tcPr>
            <w:tcW w:w="1984" w:type="dxa"/>
            <w:shd w:val="clear" w:color="auto" w:fill="EEECE1" w:themeFill="background2"/>
            <w:vAlign w:val="center"/>
          </w:tcPr>
          <w:p w:rsidR="00D000C0" w:rsidRPr="00D000C0" w:rsidRDefault="00D000C0" w:rsidP="00D000C0">
            <w:pPr>
              <w:widowControl w:val="0"/>
              <w:tabs>
                <w:tab w:val="left" w:pos="971"/>
              </w:tabs>
              <w:spacing w:after="0" w:line="240" w:lineRule="auto"/>
              <w:jc w:val="both"/>
              <w:rPr>
                <w:rFonts w:eastAsia="Times New Roman" w:cs="Times New Roman"/>
                <w:sz w:val="24"/>
                <w:szCs w:val="24"/>
                <w:lang w:eastAsia="ru-RU"/>
              </w:rPr>
            </w:pPr>
            <w:proofErr w:type="gramStart"/>
            <w:r w:rsidRPr="00D000C0">
              <w:rPr>
                <w:rFonts w:eastAsia="Times New Roman" w:cs="Times New Roman"/>
                <w:sz w:val="24"/>
                <w:szCs w:val="24"/>
                <w:lang w:eastAsia="ru-RU"/>
              </w:rPr>
              <w:t>Признана</w:t>
            </w:r>
            <w:proofErr w:type="gramEnd"/>
            <w:r w:rsidRPr="00D000C0">
              <w:rPr>
                <w:rFonts w:eastAsia="Times New Roman" w:cs="Times New Roman"/>
                <w:sz w:val="24"/>
                <w:szCs w:val="24"/>
                <w:lang w:eastAsia="ru-RU"/>
              </w:rPr>
              <w:t xml:space="preserve"> необоснованной</w:t>
            </w:r>
          </w:p>
          <w:p w:rsidR="00F63811" w:rsidRDefault="00D000C0" w:rsidP="00D000C0">
            <w:pPr>
              <w:widowControl w:val="0"/>
              <w:tabs>
                <w:tab w:val="left" w:pos="971"/>
              </w:tabs>
              <w:spacing w:after="0" w:line="240" w:lineRule="auto"/>
              <w:jc w:val="both"/>
              <w:rPr>
                <w:rFonts w:eastAsia="Times New Roman" w:cs="Times New Roman"/>
                <w:sz w:val="24"/>
                <w:szCs w:val="24"/>
                <w:lang w:eastAsia="ru-RU"/>
              </w:rPr>
            </w:pPr>
            <w:r w:rsidRPr="00D000C0">
              <w:rPr>
                <w:rFonts w:eastAsia="Times New Roman" w:cs="Times New Roman"/>
                <w:sz w:val="24"/>
                <w:szCs w:val="24"/>
                <w:lang w:eastAsia="ru-RU"/>
              </w:rPr>
              <w:t>Предписание не выдано</w:t>
            </w:r>
          </w:p>
        </w:tc>
      </w:tr>
      <w:tr w:rsidR="00D000C0" w:rsidRPr="0090324A" w:rsidTr="00A93F1B">
        <w:tc>
          <w:tcPr>
            <w:tcW w:w="709" w:type="dxa"/>
            <w:shd w:val="clear" w:color="auto" w:fill="EEECE1" w:themeFill="background2"/>
            <w:vAlign w:val="center"/>
          </w:tcPr>
          <w:p w:rsidR="00D000C0" w:rsidRDefault="00D000C0"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3827" w:type="dxa"/>
            <w:shd w:val="clear" w:color="auto" w:fill="EEECE1" w:themeFill="background2"/>
            <w:vAlign w:val="center"/>
          </w:tcPr>
          <w:p w:rsidR="00D000C0" w:rsidRPr="003E5CDA" w:rsidRDefault="00D000C0" w:rsidP="00074249">
            <w:pPr>
              <w:widowControl w:val="0"/>
              <w:tabs>
                <w:tab w:val="left" w:pos="971"/>
              </w:tabs>
              <w:spacing w:after="0" w:line="240" w:lineRule="auto"/>
              <w:jc w:val="both"/>
              <w:rPr>
                <w:rFonts w:eastAsia="Times New Roman" w:cs="Times New Roman"/>
                <w:sz w:val="24"/>
                <w:szCs w:val="24"/>
                <w:lang w:eastAsia="ru-RU"/>
              </w:rPr>
            </w:pPr>
            <w:r w:rsidRPr="003E5CDA">
              <w:rPr>
                <w:rFonts w:eastAsia="Times New Roman" w:cs="Times New Roman"/>
                <w:sz w:val="24"/>
                <w:szCs w:val="24"/>
                <w:lang w:eastAsia="ru-RU"/>
              </w:rPr>
              <w:t>Строительство здание клуба-</w:t>
            </w:r>
            <w:r w:rsidRPr="003E5CDA">
              <w:rPr>
                <w:rFonts w:eastAsia="Times New Roman" w:cs="Times New Roman"/>
                <w:sz w:val="24"/>
                <w:szCs w:val="24"/>
                <w:lang w:eastAsia="ru-RU"/>
              </w:rPr>
              <w:lastRenderedPageBreak/>
              <w:t xml:space="preserve">библиотеки по ул. </w:t>
            </w:r>
            <w:proofErr w:type="spellStart"/>
            <w:r w:rsidRPr="003E5CDA">
              <w:rPr>
                <w:rFonts w:eastAsia="Times New Roman" w:cs="Times New Roman"/>
                <w:sz w:val="24"/>
                <w:szCs w:val="24"/>
                <w:lang w:eastAsia="ru-RU"/>
              </w:rPr>
              <w:t>Классона</w:t>
            </w:r>
            <w:proofErr w:type="spellEnd"/>
            <w:r w:rsidRPr="003E5CDA">
              <w:rPr>
                <w:rFonts w:eastAsia="Times New Roman" w:cs="Times New Roman"/>
                <w:sz w:val="24"/>
                <w:szCs w:val="24"/>
                <w:lang w:eastAsia="ru-RU"/>
              </w:rPr>
              <w:t>, 1 в пос. Кедровое ГО Верхняя Пышма</w:t>
            </w:r>
          </w:p>
        </w:tc>
        <w:tc>
          <w:tcPr>
            <w:tcW w:w="1276" w:type="dxa"/>
            <w:shd w:val="clear" w:color="auto" w:fill="EEECE1" w:themeFill="background2"/>
            <w:vAlign w:val="center"/>
          </w:tcPr>
          <w:p w:rsidR="00D000C0" w:rsidRPr="003E5CDA" w:rsidRDefault="00D000C0" w:rsidP="00074249">
            <w:pPr>
              <w:widowControl w:val="0"/>
              <w:tabs>
                <w:tab w:val="left" w:pos="971"/>
              </w:tabs>
              <w:spacing w:after="0" w:line="240" w:lineRule="auto"/>
              <w:jc w:val="center"/>
              <w:rPr>
                <w:rFonts w:eastAsia="Times New Roman" w:cs="Times New Roman"/>
                <w:sz w:val="24"/>
                <w:szCs w:val="24"/>
                <w:lang w:eastAsia="ru-RU"/>
              </w:rPr>
            </w:pPr>
            <w:r w:rsidRPr="003E5CDA">
              <w:rPr>
                <w:rFonts w:eastAsia="Times New Roman" w:cs="Times New Roman"/>
                <w:sz w:val="24"/>
                <w:szCs w:val="24"/>
                <w:lang w:eastAsia="ru-RU"/>
              </w:rPr>
              <w:lastRenderedPageBreak/>
              <w:t>1</w:t>
            </w:r>
          </w:p>
        </w:tc>
        <w:tc>
          <w:tcPr>
            <w:tcW w:w="2835" w:type="dxa"/>
            <w:shd w:val="clear" w:color="auto" w:fill="EEECE1" w:themeFill="background2"/>
            <w:vAlign w:val="center"/>
          </w:tcPr>
          <w:p w:rsidR="00D000C0" w:rsidRPr="00D000C0" w:rsidRDefault="00D000C0" w:rsidP="00D000C0">
            <w:pPr>
              <w:widowControl w:val="0"/>
              <w:tabs>
                <w:tab w:val="left" w:pos="971"/>
              </w:tabs>
              <w:spacing w:after="0" w:line="240" w:lineRule="auto"/>
              <w:jc w:val="both"/>
              <w:rPr>
                <w:rFonts w:eastAsia="Times New Roman" w:cs="Times New Roman"/>
                <w:sz w:val="24"/>
                <w:szCs w:val="24"/>
                <w:lang w:eastAsia="ru-RU"/>
              </w:rPr>
            </w:pPr>
            <w:r>
              <w:rPr>
                <w:rFonts w:eastAsia="Times New Roman" w:cs="Times New Roman"/>
                <w:sz w:val="24"/>
                <w:szCs w:val="24"/>
                <w:lang w:eastAsia="ru-RU"/>
              </w:rPr>
              <w:t>Д</w:t>
            </w:r>
            <w:r w:rsidRPr="00D000C0">
              <w:rPr>
                <w:rFonts w:eastAsia="Times New Roman" w:cs="Times New Roman"/>
                <w:sz w:val="24"/>
                <w:szCs w:val="24"/>
                <w:lang w:eastAsia="ru-RU"/>
              </w:rPr>
              <w:t xml:space="preserve">оговор, приложенный в </w:t>
            </w:r>
            <w:r w:rsidRPr="00D000C0">
              <w:rPr>
                <w:rFonts w:eastAsia="Times New Roman" w:cs="Times New Roman"/>
                <w:sz w:val="24"/>
                <w:szCs w:val="24"/>
                <w:lang w:eastAsia="ru-RU"/>
              </w:rPr>
              <w:lastRenderedPageBreak/>
              <w:t>качестве подтверждения опыта выполнения работ связанного с предметом контракта, не был учтен Комиссией</w:t>
            </w:r>
          </w:p>
        </w:tc>
        <w:tc>
          <w:tcPr>
            <w:tcW w:w="1984" w:type="dxa"/>
            <w:shd w:val="clear" w:color="auto" w:fill="EEECE1" w:themeFill="background2"/>
            <w:vAlign w:val="center"/>
          </w:tcPr>
          <w:p w:rsidR="00D000C0" w:rsidRPr="00D000C0" w:rsidRDefault="00D000C0" w:rsidP="00D000C0">
            <w:pPr>
              <w:widowControl w:val="0"/>
              <w:tabs>
                <w:tab w:val="left" w:pos="971"/>
              </w:tabs>
              <w:spacing w:after="0" w:line="240" w:lineRule="auto"/>
              <w:jc w:val="both"/>
              <w:rPr>
                <w:rFonts w:eastAsia="Times New Roman" w:cs="Times New Roman"/>
                <w:sz w:val="24"/>
                <w:szCs w:val="24"/>
                <w:lang w:eastAsia="ru-RU"/>
              </w:rPr>
            </w:pPr>
            <w:proofErr w:type="gramStart"/>
            <w:r w:rsidRPr="00D000C0">
              <w:rPr>
                <w:rFonts w:eastAsia="Times New Roman" w:cs="Times New Roman"/>
                <w:sz w:val="24"/>
                <w:szCs w:val="24"/>
                <w:lang w:eastAsia="ru-RU"/>
              </w:rPr>
              <w:lastRenderedPageBreak/>
              <w:t>Признана</w:t>
            </w:r>
            <w:proofErr w:type="gramEnd"/>
            <w:r w:rsidRPr="00D000C0">
              <w:rPr>
                <w:rFonts w:eastAsia="Times New Roman" w:cs="Times New Roman"/>
                <w:sz w:val="24"/>
                <w:szCs w:val="24"/>
                <w:lang w:eastAsia="ru-RU"/>
              </w:rPr>
              <w:t xml:space="preserve"> </w:t>
            </w:r>
            <w:r w:rsidRPr="00D000C0">
              <w:rPr>
                <w:rFonts w:eastAsia="Times New Roman" w:cs="Times New Roman"/>
                <w:sz w:val="24"/>
                <w:szCs w:val="24"/>
                <w:lang w:eastAsia="ru-RU"/>
              </w:rPr>
              <w:lastRenderedPageBreak/>
              <w:t>обоснованной</w:t>
            </w:r>
          </w:p>
          <w:p w:rsidR="00D000C0" w:rsidRPr="00D000C0" w:rsidRDefault="00D000C0" w:rsidP="00D000C0">
            <w:pPr>
              <w:widowControl w:val="0"/>
              <w:tabs>
                <w:tab w:val="left" w:pos="971"/>
              </w:tabs>
              <w:spacing w:after="0" w:line="240" w:lineRule="auto"/>
              <w:jc w:val="both"/>
              <w:rPr>
                <w:rFonts w:eastAsia="Times New Roman" w:cs="Times New Roman"/>
                <w:sz w:val="24"/>
                <w:szCs w:val="24"/>
                <w:lang w:eastAsia="ru-RU"/>
              </w:rPr>
            </w:pPr>
            <w:r w:rsidRPr="00D000C0">
              <w:rPr>
                <w:rFonts w:eastAsia="Times New Roman" w:cs="Times New Roman"/>
                <w:sz w:val="24"/>
                <w:szCs w:val="24"/>
                <w:lang w:eastAsia="ru-RU"/>
              </w:rPr>
              <w:t>Предписание выдано</w:t>
            </w:r>
          </w:p>
        </w:tc>
      </w:tr>
      <w:tr w:rsidR="009B1BDB" w:rsidRPr="0090324A" w:rsidTr="00A93F1B">
        <w:tc>
          <w:tcPr>
            <w:tcW w:w="709" w:type="dxa"/>
            <w:shd w:val="clear" w:color="auto" w:fill="EEECE1" w:themeFill="background2"/>
            <w:vAlign w:val="center"/>
          </w:tcPr>
          <w:p w:rsidR="009B1BDB" w:rsidRDefault="00D000C0"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5</w:t>
            </w:r>
          </w:p>
        </w:tc>
        <w:tc>
          <w:tcPr>
            <w:tcW w:w="3827" w:type="dxa"/>
            <w:shd w:val="clear" w:color="auto" w:fill="EEECE1" w:themeFill="background2"/>
            <w:vAlign w:val="center"/>
          </w:tcPr>
          <w:p w:rsidR="009B1BDB" w:rsidRPr="003E5CDA" w:rsidRDefault="00D000C0" w:rsidP="00074249">
            <w:pPr>
              <w:widowControl w:val="0"/>
              <w:tabs>
                <w:tab w:val="left" w:pos="971"/>
              </w:tabs>
              <w:spacing w:after="0" w:line="240" w:lineRule="auto"/>
              <w:jc w:val="both"/>
              <w:rPr>
                <w:rFonts w:eastAsia="Times New Roman" w:cs="Times New Roman"/>
                <w:sz w:val="24"/>
                <w:szCs w:val="24"/>
                <w:lang w:eastAsia="ru-RU"/>
              </w:rPr>
            </w:pPr>
            <w:r w:rsidRPr="003E5CDA">
              <w:rPr>
                <w:rFonts w:eastAsia="Times New Roman" w:cs="Times New Roman"/>
                <w:sz w:val="24"/>
                <w:szCs w:val="24"/>
                <w:lang w:eastAsia="ru-RU"/>
              </w:rPr>
              <w:t>Реконструкция автомобильной дороги по ул. Александра Козицына в г. Верхняя Пышма Свердловской области</w:t>
            </w:r>
          </w:p>
        </w:tc>
        <w:tc>
          <w:tcPr>
            <w:tcW w:w="1276" w:type="dxa"/>
            <w:shd w:val="clear" w:color="auto" w:fill="EEECE1" w:themeFill="background2"/>
            <w:vAlign w:val="center"/>
          </w:tcPr>
          <w:p w:rsidR="009B1BDB" w:rsidRDefault="00D000C0"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835" w:type="dxa"/>
            <w:shd w:val="clear" w:color="auto" w:fill="EEECE1" w:themeFill="background2"/>
            <w:vAlign w:val="center"/>
          </w:tcPr>
          <w:p w:rsidR="009B1BDB" w:rsidRPr="008D357D" w:rsidRDefault="00337552" w:rsidP="009B1BDB">
            <w:pPr>
              <w:widowControl w:val="0"/>
              <w:tabs>
                <w:tab w:val="left" w:pos="971"/>
              </w:tabs>
              <w:spacing w:after="0" w:line="240" w:lineRule="auto"/>
              <w:jc w:val="both"/>
              <w:rPr>
                <w:rFonts w:eastAsia="Times New Roman" w:cs="Times New Roman"/>
                <w:sz w:val="24"/>
                <w:szCs w:val="24"/>
                <w:lang w:eastAsia="ru-RU"/>
              </w:rPr>
            </w:pPr>
            <w:proofErr w:type="gramStart"/>
            <w:r>
              <w:rPr>
                <w:rFonts w:eastAsia="Times New Roman" w:cs="Times New Roman"/>
                <w:sz w:val="24"/>
                <w:szCs w:val="24"/>
                <w:lang w:eastAsia="ru-RU"/>
              </w:rPr>
              <w:t>Н</w:t>
            </w:r>
            <w:r w:rsidRPr="00337552">
              <w:rPr>
                <w:rFonts w:eastAsia="Times New Roman" w:cs="Times New Roman"/>
                <w:sz w:val="24"/>
                <w:szCs w:val="24"/>
                <w:lang w:eastAsia="ru-RU"/>
              </w:rPr>
              <w:t>есоответствие участника закупки требованиям, установленным в извещении об осуществлении закупки в соответствии с ч. 2 ст. 31 Закона № 44-ФЗ (Отклонение по п. 3 ч. 12 ст. 48 Закона № 44-ФЗ): предоставленный участником опыт исполнения контракта, установленный в соответствии с 17 раздела III приложения к ПП РФ от 29.12.2021 № 2571, не соответствует по объему исполненных обязательств.</w:t>
            </w:r>
            <w:proofErr w:type="gramEnd"/>
          </w:p>
        </w:tc>
        <w:tc>
          <w:tcPr>
            <w:tcW w:w="1984" w:type="dxa"/>
            <w:shd w:val="clear" w:color="auto" w:fill="EEECE1" w:themeFill="background2"/>
            <w:vAlign w:val="center"/>
          </w:tcPr>
          <w:p w:rsidR="00D000C0" w:rsidRPr="00D000C0" w:rsidRDefault="00D000C0" w:rsidP="00D000C0">
            <w:pPr>
              <w:widowControl w:val="0"/>
              <w:tabs>
                <w:tab w:val="left" w:pos="971"/>
              </w:tabs>
              <w:spacing w:after="0" w:line="240" w:lineRule="auto"/>
              <w:jc w:val="both"/>
              <w:rPr>
                <w:rFonts w:eastAsia="Times New Roman" w:cs="Times New Roman"/>
                <w:sz w:val="24"/>
                <w:szCs w:val="24"/>
                <w:lang w:eastAsia="ru-RU"/>
              </w:rPr>
            </w:pPr>
            <w:proofErr w:type="gramStart"/>
            <w:r w:rsidRPr="00D000C0">
              <w:rPr>
                <w:rFonts w:eastAsia="Times New Roman" w:cs="Times New Roman"/>
                <w:sz w:val="24"/>
                <w:szCs w:val="24"/>
                <w:lang w:eastAsia="ru-RU"/>
              </w:rPr>
              <w:t>Признана</w:t>
            </w:r>
            <w:proofErr w:type="gramEnd"/>
            <w:r w:rsidRPr="00D000C0">
              <w:rPr>
                <w:rFonts w:eastAsia="Times New Roman" w:cs="Times New Roman"/>
                <w:sz w:val="24"/>
                <w:szCs w:val="24"/>
                <w:lang w:eastAsia="ru-RU"/>
              </w:rPr>
              <w:t xml:space="preserve"> необоснованной</w:t>
            </w:r>
          </w:p>
          <w:p w:rsidR="009B1BDB" w:rsidRDefault="00D000C0" w:rsidP="00D000C0">
            <w:pPr>
              <w:widowControl w:val="0"/>
              <w:tabs>
                <w:tab w:val="left" w:pos="971"/>
              </w:tabs>
              <w:spacing w:after="0" w:line="240" w:lineRule="auto"/>
              <w:jc w:val="both"/>
              <w:rPr>
                <w:rFonts w:eastAsia="Times New Roman" w:cs="Times New Roman"/>
                <w:sz w:val="24"/>
                <w:szCs w:val="24"/>
                <w:lang w:eastAsia="ru-RU"/>
              </w:rPr>
            </w:pPr>
            <w:r w:rsidRPr="00D000C0">
              <w:rPr>
                <w:rFonts w:eastAsia="Times New Roman" w:cs="Times New Roman"/>
                <w:sz w:val="24"/>
                <w:szCs w:val="24"/>
                <w:lang w:eastAsia="ru-RU"/>
              </w:rPr>
              <w:t>Предписание не выдано</w:t>
            </w:r>
          </w:p>
        </w:tc>
      </w:tr>
      <w:tr w:rsidR="004C0935" w:rsidRPr="0090324A" w:rsidTr="00A93F1B">
        <w:tc>
          <w:tcPr>
            <w:tcW w:w="709" w:type="dxa"/>
            <w:shd w:val="clear" w:color="auto" w:fill="EEECE1" w:themeFill="background2"/>
            <w:vAlign w:val="center"/>
          </w:tcPr>
          <w:p w:rsidR="004C0935" w:rsidRDefault="00337552"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6</w:t>
            </w:r>
          </w:p>
        </w:tc>
        <w:tc>
          <w:tcPr>
            <w:tcW w:w="3827" w:type="dxa"/>
            <w:shd w:val="clear" w:color="auto" w:fill="EEECE1" w:themeFill="background2"/>
            <w:vAlign w:val="center"/>
          </w:tcPr>
          <w:p w:rsidR="004C0935" w:rsidRPr="00AE6ECF" w:rsidRDefault="00337552" w:rsidP="00074249">
            <w:pPr>
              <w:widowControl w:val="0"/>
              <w:tabs>
                <w:tab w:val="left" w:pos="971"/>
              </w:tabs>
              <w:spacing w:after="0" w:line="240" w:lineRule="auto"/>
              <w:jc w:val="both"/>
              <w:rPr>
                <w:rFonts w:eastAsia="Times New Roman" w:cs="Times New Roman"/>
                <w:color w:val="00B050"/>
                <w:sz w:val="24"/>
                <w:szCs w:val="24"/>
                <w:lang w:eastAsia="ru-RU"/>
              </w:rPr>
            </w:pPr>
            <w:r w:rsidRPr="003E5CDA">
              <w:rPr>
                <w:rFonts w:eastAsia="Times New Roman" w:cs="Times New Roman"/>
                <w:sz w:val="24"/>
                <w:szCs w:val="24"/>
                <w:lang w:eastAsia="ru-RU"/>
              </w:rPr>
              <w:t xml:space="preserve">Ремонт покрытия футбольного поля, ремонт беговой дорожки спортивного объекта. Адрес объекта капитального строительства: Свердловская обл., г. Верхняя Пышма, ул. </w:t>
            </w:r>
            <w:proofErr w:type="spellStart"/>
            <w:r w:rsidRPr="003E5CDA">
              <w:rPr>
                <w:rFonts w:eastAsia="Times New Roman" w:cs="Times New Roman"/>
                <w:sz w:val="24"/>
                <w:szCs w:val="24"/>
                <w:lang w:eastAsia="ru-RU"/>
              </w:rPr>
              <w:t>Кривоусова</w:t>
            </w:r>
            <w:proofErr w:type="spellEnd"/>
            <w:r w:rsidRPr="003E5CDA">
              <w:rPr>
                <w:rFonts w:eastAsia="Times New Roman" w:cs="Times New Roman"/>
                <w:sz w:val="24"/>
                <w:szCs w:val="24"/>
                <w:lang w:eastAsia="ru-RU"/>
              </w:rPr>
              <w:t>, д. 15</w:t>
            </w:r>
          </w:p>
        </w:tc>
        <w:tc>
          <w:tcPr>
            <w:tcW w:w="1276" w:type="dxa"/>
            <w:shd w:val="clear" w:color="auto" w:fill="EEECE1" w:themeFill="background2"/>
            <w:vAlign w:val="center"/>
          </w:tcPr>
          <w:p w:rsidR="004C0935" w:rsidRDefault="00337552"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2835" w:type="dxa"/>
            <w:shd w:val="clear" w:color="auto" w:fill="EEECE1" w:themeFill="background2"/>
            <w:vAlign w:val="center"/>
          </w:tcPr>
          <w:p w:rsidR="00337552" w:rsidRPr="00337552" w:rsidRDefault="00337552" w:rsidP="00337552">
            <w:pPr>
              <w:rPr>
                <w:rFonts w:eastAsia="Times New Roman" w:cs="Times New Roman"/>
                <w:sz w:val="24"/>
                <w:szCs w:val="24"/>
                <w:lang w:eastAsia="ru-RU"/>
              </w:rPr>
            </w:pPr>
            <w:proofErr w:type="gramStart"/>
            <w:r>
              <w:rPr>
                <w:rFonts w:eastAsia="Times New Roman" w:cs="Times New Roman"/>
                <w:sz w:val="24"/>
                <w:szCs w:val="24"/>
                <w:lang w:eastAsia="ru-RU"/>
              </w:rPr>
              <w:t>Н</w:t>
            </w:r>
            <w:r w:rsidRPr="00337552">
              <w:rPr>
                <w:rFonts w:eastAsia="Times New Roman" w:cs="Times New Roman"/>
                <w:sz w:val="24"/>
                <w:szCs w:val="24"/>
                <w:lang w:eastAsia="ru-RU"/>
              </w:rPr>
              <w:t>арушены требования частей 4, 6 ст. 31 Закона 44-ФЗ, позиций 15, 9 Раздела II приложения Постановления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ст. ст. 6, 7, 8 Закона № 44-ФЗ и ст. 17</w:t>
            </w:r>
            <w:proofErr w:type="gramEnd"/>
            <w:r w:rsidRPr="00337552">
              <w:rPr>
                <w:rFonts w:eastAsia="Times New Roman" w:cs="Times New Roman"/>
                <w:sz w:val="24"/>
                <w:szCs w:val="24"/>
                <w:lang w:eastAsia="ru-RU"/>
              </w:rPr>
              <w:t xml:space="preserve"> Закона о защите конкуренции путем необоснованного </w:t>
            </w:r>
            <w:r w:rsidRPr="00337552">
              <w:rPr>
                <w:rFonts w:eastAsia="Times New Roman" w:cs="Times New Roman"/>
                <w:sz w:val="24"/>
                <w:szCs w:val="24"/>
                <w:lang w:eastAsia="ru-RU"/>
              </w:rPr>
              <w:lastRenderedPageBreak/>
              <w:t>ограничения числа участников закупки положениями извещения об осуществлении закупки.</w:t>
            </w:r>
          </w:p>
          <w:p w:rsidR="004C0935" w:rsidRPr="0090324A" w:rsidRDefault="004C0935" w:rsidP="00074249">
            <w:pPr>
              <w:widowControl w:val="0"/>
              <w:tabs>
                <w:tab w:val="left" w:pos="971"/>
              </w:tabs>
              <w:spacing w:after="0" w:line="240" w:lineRule="auto"/>
              <w:jc w:val="both"/>
              <w:rPr>
                <w:rFonts w:eastAsia="Times New Roman" w:cs="Times New Roman"/>
                <w:sz w:val="24"/>
                <w:szCs w:val="24"/>
                <w:lang w:eastAsia="ru-RU"/>
              </w:rPr>
            </w:pPr>
          </w:p>
        </w:tc>
        <w:tc>
          <w:tcPr>
            <w:tcW w:w="1984" w:type="dxa"/>
            <w:shd w:val="clear" w:color="auto" w:fill="EEECE1" w:themeFill="background2"/>
            <w:vAlign w:val="center"/>
          </w:tcPr>
          <w:p w:rsidR="00337552" w:rsidRPr="00337552" w:rsidRDefault="00337552" w:rsidP="00337552">
            <w:pPr>
              <w:widowControl w:val="0"/>
              <w:tabs>
                <w:tab w:val="left" w:pos="971"/>
              </w:tabs>
              <w:spacing w:after="0" w:line="240" w:lineRule="auto"/>
              <w:jc w:val="both"/>
              <w:rPr>
                <w:rFonts w:eastAsia="Times New Roman" w:cs="Times New Roman"/>
                <w:sz w:val="24"/>
                <w:szCs w:val="24"/>
                <w:lang w:eastAsia="ru-RU"/>
              </w:rPr>
            </w:pPr>
            <w:proofErr w:type="gramStart"/>
            <w:r w:rsidRPr="00337552">
              <w:rPr>
                <w:rFonts w:eastAsia="Times New Roman" w:cs="Times New Roman"/>
                <w:sz w:val="24"/>
                <w:szCs w:val="24"/>
                <w:lang w:eastAsia="ru-RU"/>
              </w:rPr>
              <w:lastRenderedPageBreak/>
              <w:t>Признана</w:t>
            </w:r>
            <w:proofErr w:type="gramEnd"/>
            <w:r w:rsidRPr="00337552">
              <w:rPr>
                <w:rFonts w:eastAsia="Times New Roman" w:cs="Times New Roman"/>
                <w:sz w:val="24"/>
                <w:szCs w:val="24"/>
                <w:lang w:eastAsia="ru-RU"/>
              </w:rPr>
              <w:t xml:space="preserve"> необоснованной</w:t>
            </w:r>
          </w:p>
          <w:p w:rsidR="004C0935" w:rsidRDefault="00337552" w:rsidP="00337552">
            <w:pPr>
              <w:widowControl w:val="0"/>
              <w:tabs>
                <w:tab w:val="left" w:pos="971"/>
              </w:tabs>
              <w:spacing w:after="0" w:line="240" w:lineRule="auto"/>
              <w:jc w:val="both"/>
              <w:rPr>
                <w:rFonts w:eastAsia="Times New Roman" w:cs="Times New Roman"/>
                <w:sz w:val="24"/>
                <w:szCs w:val="24"/>
                <w:lang w:eastAsia="ru-RU"/>
              </w:rPr>
            </w:pPr>
            <w:r w:rsidRPr="00337552">
              <w:rPr>
                <w:rFonts w:eastAsia="Times New Roman" w:cs="Times New Roman"/>
                <w:sz w:val="24"/>
                <w:szCs w:val="24"/>
                <w:lang w:eastAsia="ru-RU"/>
              </w:rPr>
              <w:t>Предписание не выдано</w:t>
            </w:r>
          </w:p>
        </w:tc>
      </w:tr>
      <w:tr w:rsidR="00D000C0" w:rsidRPr="0090324A" w:rsidTr="00A93F1B">
        <w:tc>
          <w:tcPr>
            <w:tcW w:w="709" w:type="dxa"/>
            <w:shd w:val="clear" w:color="auto" w:fill="EEECE1" w:themeFill="background2"/>
            <w:vAlign w:val="center"/>
          </w:tcPr>
          <w:p w:rsidR="00D000C0" w:rsidRDefault="00337552"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7</w:t>
            </w:r>
          </w:p>
        </w:tc>
        <w:tc>
          <w:tcPr>
            <w:tcW w:w="3827" w:type="dxa"/>
            <w:shd w:val="clear" w:color="auto" w:fill="EEECE1" w:themeFill="background2"/>
            <w:vAlign w:val="center"/>
          </w:tcPr>
          <w:p w:rsidR="00D000C0" w:rsidRPr="0090324A" w:rsidRDefault="00337552" w:rsidP="00074249">
            <w:pPr>
              <w:widowControl w:val="0"/>
              <w:tabs>
                <w:tab w:val="left" w:pos="971"/>
              </w:tabs>
              <w:spacing w:after="0" w:line="240" w:lineRule="auto"/>
              <w:jc w:val="both"/>
              <w:rPr>
                <w:rFonts w:eastAsia="Times New Roman" w:cs="Times New Roman"/>
                <w:sz w:val="24"/>
                <w:szCs w:val="24"/>
                <w:lang w:eastAsia="ru-RU"/>
              </w:rPr>
            </w:pPr>
            <w:r w:rsidRPr="00337552">
              <w:rPr>
                <w:rFonts w:eastAsia="Times New Roman" w:cs="Times New Roman"/>
                <w:sz w:val="24"/>
                <w:szCs w:val="24"/>
                <w:lang w:eastAsia="ru-RU"/>
              </w:rPr>
              <w:t xml:space="preserve">Благоустройство территории в районе пр. Успенский - ул. </w:t>
            </w:r>
            <w:proofErr w:type="gramStart"/>
            <w:r w:rsidRPr="00337552">
              <w:rPr>
                <w:rFonts w:eastAsia="Times New Roman" w:cs="Times New Roman"/>
                <w:sz w:val="24"/>
                <w:szCs w:val="24"/>
                <w:lang w:eastAsia="ru-RU"/>
              </w:rPr>
              <w:t>Октябрьская</w:t>
            </w:r>
            <w:proofErr w:type="gramEnd"/>
            <w:r w:rsidRPr="00337552">
              <w:rPr>
                <w:rFonts w:eastAsia="Times New Roman" w:cs="Times New Roman"/>
                <w:sz w:val="24"/>
                <w:szCs w:val="24"/>
                <w:lang w:eastAsia="ru-RU"/>
              </w:rPr>
              <w:t xml:space="preserve"> - ул. А. Козицына. Сектор III.</w:t>
            </w:r>
          </w:p>
        </w:tc>
        <w:tc>
          <w:tcPr>
            <w:tcW w:w="1276" w:type="dxa"/>
            <w:shd w:val="clear" w:color="auto" w:fill="EEECE1" w:themeFill="background2"/>
            <w:vAlign w:val="center"/>
          </w:tcPr>
          <w:p w:rsidR="00D000C0" w:rsidRDefault="00337552"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835" w:type="dxa"/>
            <w:shd w:val="clear" w:color="auto" w:fill="EEECE1" w:themeFill="background2"/>
            <w:vAlign w:val="center"/>
          </w:tcPr>
          <w:p w:rsidR="00D000C0" w:rsidRPr="0090324A" w:rsidRDefault="00337552" w:rsidP="00074249">
            <w:pPr>
              <w:widowControl w:val="0"/>
              <w:tabs>
                <w:tab w:val="left" w:pos="971"/>
              </w:tabs>
              <w:spacing w:after="0" w:line="240" w:lineRule="auto"/>
              <w:jc w:val="both"/>
              <w:rPr>
                <w:rFonts w:eastAsia="Times New Roman" w:cs="Times New Roman"/>
                <w:sz w:val="24"/>
                <w:szCs w:val="24"/>
                <w:lang w:eastAsia="ru-RU"/>
              </w:rPr>
            </w:pPr>
            <w:r w:rsidRPr="00337552">
              <w:rPr>
                <w:rFonts w:eastAsia="Times New Roman" w:cs="Times New Roman"/>
                <w:sz w:val="24"/>
                <w:szCs w:val="24"/>
                <w:lang w:eastAsia="ru-RU"/>
              </w:rPr>
              <w:t>Заказчиком нарушена часть 8 статьи 32, пункта 8 части 1 статьи 54.3 Закона о контрактной системе</w:t>
            </w:r>
          </w:p>
        </w:tc>
        <w:tc>
          <w:tcPr>
            <w:tcW w:w="1984" w:type="dxa"/>
            <w:shd w:val="clear" w:color="auto" w:fill="EEECE1" w:themeFill="background2"/>
            <w:vAlign w:val="center"/>
          </w:tcPr>
          <w:p w:rsidR="00337552" w:rsidRPr="00337552" w:rsidRDefault="00337552" w:rsidP="00337552">
            <w:pPr>
              <w:widowControl w:val="0"/>
              <w:tabs>
                <w:tab w:val="left" w:pos="971"/>
              </w:tabs>
              <w:spacing w:after="0" w:line="240" w:lineRule="auto"/>
              <w:jc w:val="both"/>
              <w:rPr>
                <w:rFonts w:eastAsia="Times New Roman" w:cs="Times New Roman"/>
                <w:sz w:val="24"/>
                <w:szCs w:val="24"/>
                <w:lang w:eastAsia="ru-RU"/>
              </w:rPr>
            </w:pPr>
            <w:proofErr w:type="gramStart"/>
            <w:r w:rsidRPr="00337552">
              <w:rPr>
                <w:rFonts w:eastAsia="Times New Roman" w:cs="Times New Roman"/>
                <w:sz w:val="24"/>
                <w:szCs w:val="24"/>
                <w:lang w:eastAsia="ru-RU"/>
              </w:rPr>
              <w:t>Признана</w:t>
            </w:r>
            <w:proofErr w:type="gramEnd"/>
            <w:r w:rsidRPr="00337552">
              <w:rPr>
                <w:rFonts w:eastAsia="Times New Roman" w:cs="Times New Roman"/>
                <w:sz w:val="24"/>
                <w:szCs w:val="24"/>
                <w:lang w:eastAsia="ru-RU"/>
              </w:rPr>
              <w:t xml:space="preserve"> необоснованной</w:t>
            </w:r>
          </w:p>
          <w:p w:rsidR="00D000C0" w:rsidRDefault="00337552" w:rsidP="00337552">
            <w:pPr>
              <w:widowControl w:val="0"/>
              <w:tabs>
                <w:tab w:val="left" w:pos="971"/>
              </w:tabs>
              <w:spacing w:after="0" w:line="240" w:lineRule="auto"/>
              <w:jc w:val="both"/>
              <w:rPr>
                <w:rFonts w:eastAsia="Times New Roman" w:cs="Times New Roman"/>
                <w:sz w:val="24"/>
                <w:szCs w:val="24"/>
                <w:lang w:eastAsia="ru-RU"/>
              </w:rPr>
            </w:pPr>
            <w:r w:rsidRPr="00337552">
              <w:rPr>
                <w:rFonts w:eastAsia="Times New Roman" w:cs="Times New Roman"/>
                <w:sz w:val="24"/>
                <w:szCs w:val="24"/>
                <w:lang w:eastAsia="ru-RU"/>
              </w:rPr>
              <w:t>Предписание не выдано</w:t>
            </w:r>
          </w:p>
        </w:tc>
      </w:tr>
      <w:tr w:rsidR="00D000C0" w:rsidRPr="0090324A" w:rsidTr="00A93F1B">
        <w:tc>
          <w:tcPr>
            <w:tcW w:w="709" w:type="dxa"/>
            <w:shd w:val="clear" w:color="auto" w:fill="EEECE1" w:themeFill="background2"/>
            <w:vAlign w:val="center"/>
          </w:tcPr>
          <w:p w:rsidR="00D000C0" w:rsidRDefault="00337552"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8</w:t>
            </w:r>
          </w:p>
        </w:tc>
        <w:tc>
          <w:tcPr>
            <w:tcW w:w="3827" w:type="dxa"/>
            <w:shd w:val="clear" w:color="auto" w:fill="EEECE1" w:themeFill="background2"/>
            <w:vAlign w:val="center"/>
          </w:tcPr>
          <w:p w:rsidR="00D000C0" w:rsidRPr="0090324A" w:rsidRDefault="00337552" w:rsidP="00074249">
            <w:pPr>
              <w:widowControl w:val="0"/>
              <w:tabs>
                <w:tab w:val="left" w:pos="971"/>
              </w:tabs>
              <w:spacing w:after="0" w:line="240" w:lineRule="auto"/>
              <w:jc w:val="both"/>
              <w:rPr>
                <w:rFonts w:eastAsia="Times New Roman" w:cs="Times New Roman"/>
                <w:sz w:val="24"/>
                <w:szCs w:val="24"/>
                <w:lang w:eastAsia="ru-RU"/>
              </w:rPr>
            </w:pPr>
            <w:proofErr w:type="gramStart"/>
            <w:r w:rsidRPr="00337552">
              <w:rPr>
                <w:rFonts w:eastAsia="Times New Roman" w:cs="Times New Roman"/>
                <w:sz w:val="24"/>
                <w:szCs w:val="24"/>
                <w:lang w:eastAsia="ru-RU"/>
              </w:rPr>
              <w:t xml:space="preserve">Ремонт автомобильных дорог общего пользования местного значения в г. Верхняя Пышма, ул. Юбилейная (участок от ул. </w:t>
            </w:r>
            <w:proofErr w:type="spellStart"/>
            <w:r w:rsidRPr="00337552">
              <w:rPr>
                <w:rFonts w:eastAsia="Times New Roman" w:cs="Times New Roman"/>
                <w:sz w:val="24"/>
                <w:szCs w:val="24"/>
                <w:lang w:eastAsia="ru-RU"/>
              </w:rPr>
              <w:t>Кривоусова</w:t>
            </w:r>
            <w:proofErr w:type="spellEnd"/>
            <w:r w:rsidRPr="00337552">
              <w:rPr>
                <w:rFonts w:eastAsia="Times New Roman" w:cs="Times New Roman"/>
                <w:sz w:val="24"/>
                <w:szCs w:val="24"/>
                <w:lang w:eastAsia="ru-RU"/>
              </w:rPr>
              <w:t xml:space="preserve"> до пр.</w:t>
            </w:r>
            <w:proofErr w:type="gramEnd"/>
            <w:r w:rsidRPr="00337552">
              <w:rPr>
                <w:rFonts w:eastAsia="Times New Roman" w:cs="Times New Roman"/>
                <w:sz w:val="24"/>
                <w:szCs w:val="24"/>
                <w:lang w:eastAsia="ru-RU"/>
              </w:rPr>
              <w:t xml:space="preserve"> Успенский), ул. Менделеева (участок от пр. </w:t>
            </w:r>
            <w:proofErr w:type="gramStart"/>
            <w:r w:rsidRPr="00337552">
              <w:rPr>
                <w:rFonts w:eastAsia="Times New Roman" w:cs="Times New Roman"/>
                <w:sz w:val="24"/>
                <w:szCs w:val="24"/>
                <w:lang w:eastAsia="ru-RU"/>
              </w:rPr>
              <w:t xml:space="preserve">Успенского до ул. </w:t>
            </w:r>
            <w:proofErr w:type="spellStart"/>
            <w:r w:rsidRPr="00337552">
              <w:rPr>
                <w:rFonts w:eastAsia="Times New Roman" w:cs="Times New Roman"/>
                <w:sz w:val="24"/>
                <w:szCs w:val="24"/>
                <w:lang w:eastAsia="ru-RU"/>
              </w:rPr>
              <w:t>Кривоусова</w:t>
            </w:r>
            <w:proofErr w:type="spellEnd"/>
            <w:r w:rsidRPr="00337552">
              <w:rPr>
                <w:rFonts w:eastAsia="Times New Roman" w:cs="Times New Roman"/>
                <w:sz w:val="24"/>
                <w:szCs w:val="24"/>
                <w:lang w:eastAsia="ru-RU"/>
              </w:rPr>
              <w:t>)»</w:t>
            </w:r>
            <w:proofErr w:type="gramEnd"/>
          </w:p>
        </w:tc>
        <w:tc>
          <w:tcPr>
            <w:tcW w:w="1276" w:type="dxa"/>
            <w:shd w:val="clear" w:color="auto" w:fill="EEECE1" w:themeFill="background2"/>
            <w:vAlign w:val="center"/>
          </w:tcPr>
          <w:p w:rsidR="00D000C0" w:rsidRDefault="00337552"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835" w:type="dxa"/>
            <w:shd w:val="clear" w:color="auto" w:fill="EEECE1" w:themeFill="background2"/>
            <w:vAlign w:val="center"/>
          </w:tcPr>
          <w:p w:rsidR="00337552" w:rsidRPr="00337552" w:rsidRDefault="00337552" w:rsidP="00337552">
            <w:pPr>
              <w:widowControl w:val="0"/>
              <w:tabs>
                <w:tab w:val="left" w:pos="971"/>
              </w:tabs>
              <w:spacing w:after="0" w:line="240" w:lineRule="auto"/>
              <w:jc w:val="both"/>
              <w:rPr>
                <w:rFonts w:eastAsia="Times New Roman" w:cs="Times New Roman"/>
                <w:sz w:val="24"/>
                <w:szCs w:val="24"/>
                <w:lang w:eastAsia="ru-RU"/>
              </w:rPr>
            </w:pPr>
            <w:r>
              <w:rPr>
                <w:rFonts w:eastAsia="Times New Roman" w:cs="Times New Roman"/>
                <w:sz w:val="24"/>
                <w:szCs w:val="24"/>
                <w:lang w:eastAsia="ru-RU"/>
              </w:rPr>
              <w:t>Н</w:t>
            </w:r>
            <w:r w:rsidRPr="00337552">
              <w:rPr>
                <w:rFonts w:eastAsia="Times New Roman" w:cs="Times New Roman"/>
                <w:sz w:val="24"/>
                <w:szCs w:val="24"/>
                <w:lang w:eastAsia="ru-RU"/>
              </w:rPr>
              <w:t>арушена процедура подведения итогов</w:t>
            </w:r>
          </w:p>
          <w:p w:rsidR="00337552" w:rsidRPr="00337552" w:rsidRDefault="00337552" w:rsidP="00337552">
            <w:pPr>
              <w:widowControl w:val="0"/>
              <w:tabs>
                <w:tab w:val="left" w:pos="971"/>
              </w:tabs>
              <w:spacing w:after="0" w:line="240" w:lineRule="auto"/>
              <w:jc w:val="both"/>
              <w:rPr>
                <w:rFonts w:eastAsia="Times New Roman" w:cs="Times New Roman"/>
                <w:sz w:val="24"/>
                <w:szCs w:val="24"/>
                <w:lang w:eastAsia="ru-RU"/>
              </w:rPr>
            </w:pPr>
            <w:r w:rsidRPr="00337552">
              <w:rPr>
                <w:rFonts w:eastAsia="Times New Roman" w:cs="Times New Roman"/>
                <w:sz w:val="24"/>
                <w:szCs w:val="24"/>
                <w:lang w:eastAsia="ru-RU"/>
              </w:rPr>
              <w:t>открытого конкурса в электронной форме, что выразилось в применении при подсчете баллов участников</w:t>
            </w:r>
          </w:p>
          <w:p w:rsidR="00337552" w:rsidRPr="00337552" w:rsidRDefault="00337552" w:rsidP="00337552">
            <w:pPr>
              <w:widowControl w:val="0"/>
              <w:tabs>
                <w:tab w:val="left" w:pos="971"/>
              </w:tabs>
              <w:spacing w:after="0" w:line="240" w:lineRule="auto"/>
              <w:jc w:val="both"/>
              <w:rPr>
                <w:rFonts w:eastAsia="Times New Roman" w:cs="Times New Roman"/>
                <w:sz w:val="24"/>
                <w:szCs w:val="24"/>
                <w:lang w:eastAsia="ru-RU"/>
              </w:rPr>
            </w:pPr>
            <w:r w:rsidRPr="00337552">
              <w:rPr>
                <w:rFonts w:eastAsia="Times New Roman" w:cs="Times New Roman"/>
                <w:sz w:val="24"/>
                <w:szCs w:val="24"/>
                <w:lang w:eastAsia="ru-RU"/>
              </w:rPr>
              <w:t>закупки по детализирующему показателю «общее количество исполненных участником закупки договоров»</w:t>
            </w:r>
          </w:p>
          <w:p w:rsidR="00D000C0" w:rsidRPr="0090324A" w:rsidRDefault="00337552" w:rsidP="00337552">
            <w:pPr>
              <w:widowControl w:val="0"/>
              <w:tabs>
                <w:tab w:val="left" w:pos="971"/>
              </w:tabs>
              <w:spacing w:after="0" w:line="240" w:lineRule="auto"/>
              <w:jc w:val="both"/>
              <w:rPr>
                <w:rFonts w:eastAsia="Times New Roman" w:cs="Times New Roman"/>
                <w:sz w:val="24"/>
                <w:szCs w:val="24"/>
                <w:lang w:eastAsia="ru-RU"/>
              </w:rPr>
            </w:pPr>
            <w:r w:rsidRPr="00337552">
              <w:rPr>
                <w:rFonts w:eastAsia="Times New Roman" w:cs="Times New Roman"/>
                <w:sz w:val="24"/>
                <w:szCs w:val="24"/>
                <w:lang w:eastAsia="ru-RU"/>
              </w:rPr>
              <w:t>формулы, не предусмотренной положениями извещения.</w:t>
            </w:r>
          </w:p>
        </w:tc>
        <w:tc>
          <w:tcPr>
            <w:tcW w:w="1984" w:type="dxa"/>
            <w:shd w:val="clear" w:color="auto" w:fill="EEECE1" w:themeFill="background2"/>
            <w:vAlign w:val="center"/>
          </w:tcPr>
          <w:p w:rsidR="00337552" w:rsidRPr="00337552" w:rsidRDefault="00337552" w:rsidP="00337552">
            <w:pPr>
              <w:widowControl w:val="0"/>
              <w:tabs>
                <w:tab w:val="left" w:pos="971"/>
              </w:tabs>
              <w:spacing w:after="0" w:line="240" w:lineRule="auto"/>
              <w:jc w:val="both"/>
              <w:rPr>
                <w:rFonts w:eastAsia="Times New Roman" w:cs="Times New Roman"/>
                <w:sz w:val="24"/>
                <w:szCs w:val="24"/>
                <w:lang w:eastAsia="ru-RU"/>
              </w:rPr>
            </w:pPr>
            <w:proofErr w:type="gramStart"/>
            <w:r w:rsidRPr="00337552">
              <w:rPr>
                <w:rFonts w:eastAsia="Times New Roman" w:cs="Times New Roman"/>
                <w:sz w:val="24"/>
                <w:szCs w:val="24"/>
                <w:lang w:eastAsia="ru-RU"/>
              </w:rPr>
              <w:t>Признана</w:t>
            </w:r>
            <w:proofErr w:type="gramEnd"/>
            <w:r w:rsidRPr="00337552">
              <w:rPr>
                <w:rFonts w:eastAsia="Times New Roman" w:cs="Times New Roman"/>
                <w:sz w:val="24"/>
                <w:szCs w:val="24"/>
                <w:lang w:eastAsia="ru-RU"/>
              </w:rPr>
              <w:t xml:space="preserve"> обоснованной</w:t>
            </w:r>
          </w:p>
          <w:p w:rsidR="00D000C0" w:rsidRDefault="00337552" w:rsidP="00337552">
            <w:pPr>
              <w:widowControl w:val="0"/>
              <w:tabs>
                <w:tab w:val="left" w:pos="971"/>
              </w:tabs>
              <w:spacing w:after="0" w:line="240" w:lineRule="auto"/>
              <w:jc w:val="both"/>
              <w:rPr>
                <w:rFonts w:eastAsia="Times New Roman" w:cs="Times New Roman"/>
                <w:sz w:val="24"/>
                <w:szCs w:val="24"/>
                <w:lang w:eastAsia="ru-RU"/>
              </w:rPr>
            </w:pPr>
            <w:r w:rsidRPr="00337552">
              <w:rPr>
                <w:rFonts w:eastAsia="Times New Roman" w:cs="Times New Roman"/>
                <w:sz w:val="24"/>
                <w:szCs w:val="24"/>
                <w:lang w:eastAsia="ru-RU"/>
              </w:rPr>
              <w:t>Предписание выдано</w:t>
            </w:r>
          </w:p>
        </w:tc>
      </w:tr>
      <w:tr w:rsidR="00337552" w:rsidRPr="0090324A" w:rsidTr="00A93F1B">
        <w:tc>
          <w:tcPr>
            <w:tcW w:w="709" w:type="dxa"/>
            <w:shd w:val="clear" w:color="auto" w:fill="EEECE1" w:themeFill="background2"/>
            <w:vAlign w:val="center"/>
          </w:tcPr>
          <w:p w:rsidR="00337552" w:rsidRDefault="00337552"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9</w:t>
            </w:r>
          </w:p>
        </w:tc>
        <w:tc>
          <w:tcPr>
            <w:tcW w:w="3827" w:type="dxa"/>
            <w:shd w:val="clear" w:color="auto" w:fill="EEECE1" w:themeFill="background2"/>
            <w:vAlign w:val="center"/>
          </w:tcPr>
          <w:p w:rsidR="00337552" w:rsidRPr="0090324A" w:rsidRDefault="00613BD8" w:rsidP="00074249">
            <w:pPr>
              <w:widowControl w:val="0"/>
              <w:tabs>
                <w:tab w:val="left" w:pos="971"/>
              </w:tabs>
              <w:spacing w:after="0" w:line="240" w:lineRule="auto"/>
              <w:jc w:val="both"/>
              <w:rPr>
                <w:rFonts w:eastAsia="Times New Roman" w:cs="Times New Roman"/>
                <w:sz w:val="24"/>
                <w:szCs w:val="24"/>
                <w:lang w:eastAsia="ru-RU"/>
              </w:rPr>
            </w:pPr>
            <w:proofErr w:type="gramStart"/>
            <w:r w:rsidRPr="00613BD8">
              <w:rPr>
                <w:rFonts w:eastAsia="Times New Roman" w:cs="Times New Roman"/>
                <w:sz w:val="24"/>
                <w:szCs w:val="24"/>
                <w:lang w:eastAsia="ru-RU"/>
              </w:rPr>
              <w:t>Ремонт автомобильных дорог общего пользования местного значения в г. Верхняя Пышма, ул. Бажова, ул. Калинина, проезд от ул. Лермонтова до ул. Мичурина, проезд от ул. Лесная до ул. Центральная с примыканием ул. Луговая</w:t>
            </w:r>
            <w:proofErr w:type="gramEnd"/>
          </w:p>
        </w:tc>
        <w:tc>
          <w:tcPr>
            <w:tcW w:w="1276" w:type="dxa"/>
            <w:shd w:val="clear" w:color="auto" w:fill="EEECE1" w:themeFill="background2"/>
            <w:vAlign w:val="center"/>
          </w:tcPr>
          <w:p w:rsidR="00337552" w:rsidRDefault="00613BD8"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835" w:type="dxa"/>
            <w:shd w:val="clear" w:color="auto" w:fill="EEECE1" w:themeFill="background2"/>
            <w:vAlign w:val="center"/>
          </w:tcPr>
          <w:p w:rsidR="00337552" w:rsidRPr="0090324A" w:rsidRDefault="009D1B36" w:rsidP="009D1B36">
            <w:pPr>
              <w:widowControl w:val="0"/>
              <w:tabs>
                <w:tab w:val="left" w:pos="971"/>
              </w:tabs>
              <w:spacing w:after="0" w:line="240" w:lineRule="auto"/>
              <w:jc w:val="both"/>
              <w:rPr>
                <w:rFonts w:eastAsia="Times New Roman" w:cs="Times New Roman"/>
                <w:sz w:val="24"/>
                <w:szCs w:val="24"/>
                <w:lang w:eastAsia="ru-RU"/>
              </w:rPr>
            </w:pPr>
            <w:r>
              <w:rPr>
                <w:rFonts w:eastAsia="Times New Roman" w:cs="Times New Roman"/>
                <w:sz w:val="24"/>
                <w:szCs w:val="24"/>
                <w:lang w:eastAsia="ru-RU"/>
              </w:rPr>
              <w:t>З</w:t>
            </w:r>
            <w:r w:rsidRPr="009D1B36">
              <w:rPr>
                <w:rFonts w:eastAsia="Times New Roman" w:cs="Times New Roman"/>
                <w:sz w:val="24"/>
                <w:szCs w:val="24"/>
                <w:lang w:eastAsia="ru-RU"/>
              </w:rPr>
              <w:t>аказчиком при подсчете квалификационных баллов участников нарушен порядок присвоения баллов</w:t>
            </w:r>
          </w:p>
        </w:tc>
        <w:tc>
          <w:tcPr>
            <w:tcW w:w="1984" w:type="dxa"/>
            <w:shd w:val="clear" w:color="auto" w:fill="EEECE1" w:themeFill="background2"/>
            <w:vAlign w:val="center"/>
          </w:tcPr>
          <w:p w:rsidR="00613BD8" w:rsidRPr="00613BD8" w:rsidRDefault="00613BD8" w:rsidP="00613BD8">
            <w:pPr>
              <w:widowControl w:val="0"/>
              <w:tabs>
                <w:tab w:val="left" w:pos="971"/>
              </w:tabs>
              <w:spacing w:after="0" w:line="240" w:lineRule="auto"/>
              <w:jc w:val="both"/>
              <w:rPr>
                <w:rFonts w:eastAsia="Times New Roman" w:cs="Times New Roman"/>
                <w:sz w:val="24"/>
                <w:szCs w:val="24"/>
                <w:lang w:eastAsia="ru-RU"/>
              </w:rPr>
            </w:pPr>
            <w:proofErr w:type="gramStart"/>
            <w:r w:rsidRPr="00613BD8">
              <w:rPr>
                <w:rFonts w:eastAsia="Times New Roman" w:cs="Times New Roman"/>
                <w:sz w:val="24"/>
                <w:szCs w:val="24"/>
                <w:lang w:eastAsia="ru-RU"/>
              </w:rPr>
              <w:t>Признана</w:t>
            </w:r>
            <w:proofErr w:type="gramEnd"/>
            <w:r w:rsidRPr="00613BD8">
              <w:rPr>
                <w:rFonts w:eastAsia="Times New Roman" w:cs="Times New Roman"/>
                <w:sz w:val="24"/>
                <w:szCs w:val="24"/>
                <w:lang w:eastAsia="ru-RU"/>
              </w:rPr>
              <w:t xml:space="preserve"> обоснованной</w:t>
            </w:r>
          </w:p>
          <w:p w:rsidR="00337552" w:rsidRDefault="00613BD8" w:rsidP="00613BD8">
            <w:pPr>
              <w:widowControl w:val="0"/>
              <w:tabs>
                <w:tab w:val="left" w:pos="971"/>
              </w:tabs>
              <w:spacing w:after="0" w:line="240" w:lineRule="auto"/>
              <w:jc w:val="both"/>
              <w:rPr>
                <w:rFonts w:eastAsia="Times New Roman" w:cs="Times New Roman"/>
                <w:sz w:val="24"/>
                <w:szCs w:val="24"/>
                <w:lang w:eastAsia="ru-RU"/>
              </w:rPr>
            </w:pPr>
            <w:r w:rsidRPr="00613BD8">
              <w:rPr>
                <w:rFonts w:eastAsia="Times New Roman" w:cs="Times New Roman"/>
                <w:sz w:val="24"/>
                <w:szCs w:val="24"/>
                <w:lang w:eastAsia="ru-RU"/>
              </w:rPr>
              <w:t>Предписание выдано</w:t>
            </w:r>
          </w:p>
        </w:tc>
      </w:tr>
      <w:tr w:rsidR="00337552" w:rsidRPr="0090324A" w:rsidTr="00A93F1B">
        <w:tc>
          <w:tcPr>
            <w:tcW w:w="709" w:type="dxa"/>
            <w:shd w:val="clear" w:color="auto" w:fill="EEECE1" w:themeFill="background2"/>
            <w:vAlign w:val="center"/>
          </w:tcPr>
          <w:p w:rsidR="00337552" w:rsidRDefault="006B7AF0" w:rsidP="00074249">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10</w:t>
            </w:r>
          </w:p>
        </w:tc>
        <w:tc>
          <w:tcPr>
            <w:tcW w:w="3827" w:type="dxa"/>
            <w:shd w:val="clear" w:color="auto" w:fill="EEECE1" w:themeFill="background2"/>
            <w:vAlign w:val="center"/>
          </w:tcPr>
          <w:p w:rsidR="00337552" w:rsidRPr="0090324A" w:rsidRDefault="006B7AF0" w:rsidP="00074249">
            <w:pPr>
              <w:widowControl w:val="0"/>
              <w:tabs>
                <w:tab w:val="left" w:pos="971"/>
              </w:tabs>
              <w:spacing w:after="0" w:line="240" w:lineRule="auto"/>
              <w:jc w:val="both"/>
              <w:rPr>
                <w:rFonts w:eastAsia="Times New Roman" w:cs="Times New Roman"/>
                <w:sz w:val="24"/>
                <w:szCs w:val="24"/>
                <w:lang w:eastAsia="ru-RU"/>
              </w:rPr>
            </w:pPr>
            <w:r w:rsidRPr="006B7AF0">
              <w:rPr>
                <w:rFonts w:eastAsia="Times New Roman" w:cs="Times New Roman"/>
                <w:sz w:val="24"/>
                <w:szCs w:val="24"/>
                <w:lang w:eastAsia="ru-RU"/>
              </w:rPr>
              <w:t>Содержание полигона ТКО в районе пос. Красный</w:t>
            </w:r>
          </w:p>
        </w:tc>
        <w:tc>
          <w:tcPr>
            <w:tcW w:w="1276" w:type="dxa"/>
            <w:shd w:val="clear" w:color="auto" w:fill="EEECE1" w:themeFill="background2"/>
            <w:vAlign w:val="center"/>
          </w:tcPr>
          <w:p w:rsidR="00337552" w:rsidRDefault="006B7AF0" w:rsidP="00074249">
            <w:pPr>
              <w:widowControl w:val="0"/>
              <w:tabs>
                <w:tab w:val="left" w:pos="971"/>
              </w:tabs>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2835" w:type="dxa"/>
            <w:shd w:val="clear" w:color="auto" w:fill="EEECE1" w:themeFill="background2"/>
            <w:vAlign w:val="center"/>
          </w:tcPr>
          <w:p w:rsidR="00337552" w:rsidRPr="0090324A" w:rsidRDefault="006B7AF0" w:rsidP="00074249">
            <w:pPr>
              <w:widowControl w:val="0"/>
              <w:tabs>
                <w:tab w:val="left" w:pos="971"/>
              </w:tabs>
              <w:spacing w:after="0" w:line="240" w:lineRule="auto"/>
              <w:jc w:val="both"/>
              <w:rPr>
                <w:rFonts w:eastAsia="Times New Roman" w:cs="Times New Roman"/>
                <w:sz w:val="24"/>
                <w:szCs w:val="24"/>
                <w:lang w:eastAsia="ru-RU"/>
              </w:rPr>
            </w:pPr>
            <w:r w:rsidRPr="006B7AF0">
              <w:rPr>
                <w:rFonts w:eastAsia="Times New Roman" w:cs="Times New Roman"/>
                <w:sz w:val="24"/>
                <w:szCs w:val="24"/>
                <w:lang w:eastAsia="ru-RU"/>
              </w:rPr>
              <w:t xml:space="preserve">Заказчик незаконно указал требование для вида работ, выполняемых в составе лицензируемого вида деятельности: транспортирование отходов I-IV классов опасности (вместо IV классов) для полигона ТКО в районе </w:t>
            </w:r>
            <w:proofErr w:type="spellStart"/>
            <w:r w:rsidRPr="006B7AF0">
              <w:rPr>
                <w:rFonts w:eastAsia="Times New Roman" w:cs="Times New Roman"/>
                <w:sz w:val="24"/>
                <w:szCs w:val="24"/>
                <w:lang w:eastAsia="ru-RU"/>
              </w:rPr>
              <w:t>п</w:t>
            </w:r>
            <w:proofErr w:type="gramStart"/>
            <w:r w:rsidRPr="006B7AF0">
              <w:rPr>
                <w:rFonts w:eastAsia="Times New Roman" w:cs="Times New Roman"/>
                <w:sz w:val="24"/>
                <w:szCs w:val="24"/>
                <w:lang w:eastAsia="ru-RU"/>
              </w:rPr>
              <w:t>.К</w:t>
            </w:r>
            <w:proofErr w:type="gramEnd"/>
            <w:r w:rsidRPr="006B7AF0">
              <w:rPr>
                <w:rFonts w:eastAsia="Times New Roman" w:cs="Times New Roman"/>
                <w:sz w:val="24"/>
                <w:szCs w:val="24"/>
                <w:lang w:eastAsia="ru-RU"/>
              </w:rPr>
              <w:t>расный</w:t>
            </w:r>
            <w:proofErr w:type="spellEnd"/>
            <w:r w:rsidRPr="006B7AF0">
              <w:rPr>
                <w:rFonts w:eastAsia="Times New Roman" w:cs="Times New Roman"/>
                <w:sz w:val="24"/>
                <w:szCs w:val="24"/>
                <w:lang w:eastAsia="ru-RU"/>
              </w:rPr>
              <w:t xml:space="preserve">, что </w:t>
            </w:r>
            <w:r w:rsidRPr="006B7AF0">
              <w:rPr>
                <w:rFonts w:eastAsia="Times New Roman" w:cs="Times New Roman"/>
                <w:sz w:val="24"/>
                <w:szCs w:val="24"/>
                <w:lang w:eastAsia="ru-RU"/>
              </w:rPr>
              <w:lastRenderedPageBreak/>
              <w:t>послужило причиной отклонения исполнителя ООО «МТ» в качестве победителя аукциона.</w:t>
            </w:r>
          </w:p>
        </w:tc>
        <w:tc>
          <w:tcPr>
            <w:tcW w:w="1984" w:type="dxa"/>
            <w:shd w:val="clear" w:color="auto" w:fill="EEECE1" w:themeFill="background2"/>
            <w:vAlign w:val="center"/>
          </w:tcPr>
          <w:p w:rsidR="006B7AF0" w:rsidRPr="006B7AF0" w:rsidRDefault="006B7AF0" w:rsidP="006B7AF0">
            <w:pPr>
              <w:widowControl w:val="0"/>
              <w:tabs>
                <w:tab w:val="left" w:pos="971"/>
              </w:tabs>
              <w:spacing w:after="0" w:line="240" w:lineRule="auto"/>
              <w:jc w:val="both"/>
              <w:rPr>
                <w:rFonts w:eastAsia="Times New Roman" w:cs="Times New Roman"/>
                <w:sz w:val="24"/>
                <w:szCs w:val="24"/>
                <w:lang w:eastAsia="ru-RU"/>
              </w:rPr>
            </w:pPr>
            <w:proofErr w:type="gramStart"/>
            <w:r w:rsidRPr="006B7AF0">
              <w:rPr>
                <w:rFonts w:eastAsia="Times New Roman" w:cs="Times New Roman"/>
                <w:sz w:val="24"/>
                <w:szCs w:val="24"/>
                <w:lang w:eastAsia="ru-RU"/>
              </w:rPr>
              <w:lastRenderedPageBreak/>
              <w:t>Признана</w:t>
            </w:r>
            <w:proofErr w:type="gramEnd"/>
            <w:r w:rsidRPr="006B7AF0">
              <w:rPr>
                <w:rFonts w:eastAsia="Times New Roman" w:cs="Times New Roman"/>
                <w:sz w:val="24"/>
                <w:szCs w:val="24"/>
                <w:lang w:eastAsia="ru-RU"/>
              </w:rPr>
              <w:t xml:space="preserve"> необоснованной и при проведении внеплановой проверки выявлены нарушения законодательства о контрактной системе</w:t>
            </w:r>
          </w:p>
          <w:p w:rsidR="00337552" w:rsidRDefault="006B7AF0" w:rsidP="006B7AF0">
            <w:pPr>
              <w:widowControl w:val="0"/>
              <w:tabs>
                <w:tab w:val="left" w:pos="971"/>
              </w:tabs>
              <w:spacing w:after="0" w:line="240" w:lineRule="auto"/>
              <w:jc w:val="both"/>
              <w:rPr>
                <w:rFonts w:eastAsia="Times New Roman" w:cs="Times New Roman"/>
                <w:sz w:val="24"/>
                <w:szCs w:val="24"/>
                <w:lang w:eastAsia="ru-RU"/>
              </w:rPr>
            </w:pPr>
            <w:r w:rsidRPr="006B7AF0">
              <w:rPr>
                <w:rFonts w:eastAsia="Times New Roman" w:cs="Times New Roman"/>
                <w:sz w:val="24"/>
                <w:szCs w:val="24"/>
                <w:lang w:eastAsia="ru-RU"/>
              </w:rPr>
              <w:t xml:space="preserve">Предписание </w:t>
            </w:r>
            <w:r w:rsidRPr="006B7AF0">
              <w:rPr>
                <w:rFonts w:eastAsia="Times New Roman" w:cs="Times New Roman"/>
                <w:sz w:val="24"/>
                <w:szCs w:val="24"/>
                <w:lang w:eastAsia="ru-RU"/>
              </w:rPr>
              <w:lastRenderedPageBreak/>
              <w:t>выдано</w:t>
            </w:r>
          </w:p>
        </w:tc>
      </w:tr>
    </w:tbl>
    <w:p w:rsidR="008A7389" w:rsidRDefault="008A7389" w:rsidP="007E7683">
      <w:pPr>
        <w:tabs>
          <w:tab w:val="left" w:pos="971"/>
        </w:tabs>
        <w:rPr>
          <w:rFonts w:eastAsia="Times New Roman" w:cs="Times New Roman"/>
          <w:sz w:val="28"/>
          <w:szCs w:val="28"/>
          <w:lang w:eastAsia="ru-RU"/>
        </w:rPr>
      </w:pPr>
    </w:p>
    <w:p w:rsidR="00521F0E" w:rsidRDefault="00521F0E" w:rsidP="001F4E1C">
      <w:pPr>
        <w:widowControl w:val="0"/>
        <w:autoSpaceDE w:val="0"/>
        <w:autoSpaceDN w:val="0"/>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ИНФОРМАЦИЯ ПО ОБЯЗАТЕЛЬСТВАМ ПОСТАВЩИКА</w:t>
      </w:r>
    </w:p>
    <w:p w:rsidR="00521F0E" w:rsidRDefault="00521F0E" w:rsidP="00521F0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521F0E">
        <w:rPr>
          <w:rFonts w:ascii="Times New Roman" w:eastAsia="Times New Roman" w:hAnsi="Times New Roman" w:cs="Times New Roman"/>
          <w:sz w:val="28"/>
          <w:szCs w:val="28"/>
          <w:lang w:eastAsia="ru-RU"/>
        </w:rPr>
        <w:t>Всего за отчетный период начислено</w:t>
      </w:r>
      <w:r>
        <w:rPr>
          <w:rFonts w:ascii="Times New Roman" w:eastAsia="Times New Roman" w:hAnsi="Times New Roman" w:cs="Times New Roman"/>
          <w:sz w:val="28"/>
          <w:szCs w:val="28"/>
          <w:lang w:eastAsia="ru-RU"/>
        </w:rPr>
        <w:t xml:space="preserve"> 5 000 руб. за ненадлежащее исполнение поставщиком своих обязательств и 1 819,46 руб. за просрочку исполнения  поставщиком</w:t>
      </w:r>
      <w:r w:rsidR="003656C3">
        <w:rPr>
          <w:rFonts w:ascii="Times New Roman" w:eastAsia="Times New Roman" w:hAnsi="Times New Roman" w:cs="Times New Roman"/>
          <w:sz w:val="28"/>
          <w:szCs w:val="28"/>
          <w:lang w:eastAsia="ru-RU"/>
        </w:rPr>
        <w:t xml:space="preserve"> обязательств. По состоянию на 1 июля 2024 года оплачена неустойка в размере 6 309, 33 руб. </w:t>
      </w:r>
    </w:p>
    <w:p w:rsidR="00B27715" w:rsidRPr="00521F0E" w:rsidRDefault="00B27715" w:rsidP="00521F0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rsidR="001F4E1C" w:rsidRPr="001F4E1C" w:rsidRDefault="00521F0E" w:rsidP="001F4E1C">
      <w:pPr>
        <w:widowControl w:val="0"/>
        <w:autoSpaceDE w:val="0"/>
        <w:autoSpaceDN w:val="0"/>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001F4E1C" w:rsidRPr="001F4E1C">
        <w:rPr>
          <w:rFonts w:ascii="Times New Roman" w:eastAsia="Times New Roman" w:hAnsi="Times New Roman" w:cs="Times New Roman"/>
          <w:b/>
          <w:sz w:val="28"/>
          <w:szCs w:val="28"/>
          <w:lang w:eastAsia="ru-RU"/>
        </w:rPr>
        <w:t xml:space="preserve">. </w:t>
      </w:r>
      <w:r w:rsidR="001F4E1C">
        <w:rPr>
          <w:rFonts w:ascii="Times New Roman" w:eastAsia="Times New Roman" w:hAnsi="Times New Roman" w:cs="Times New Roman"/>
          <w:b/>
          <w:sz w:val="28"/>
          <w:szCs w:val="28"/>
          <w:lang w:eastAsia="ru-RU"/>
        </w:rPr>
        <w:t>ПРЕДЛОЖЕНИЯ ЗАКАЗЧИКАМ И ГРБС</w:t>
      </w:r>
    </w:p>
    <w:p w:rsidR="001F4E1C" w:rsidRPr="001F4E1C" w:rsidRDefault="001F4E1C" w:rsidP="001F4E1C">
      <w:pPr>
        <w:widowControl w:val="0"/>
        <w:numPr>
          <w:ilvl w:val="0"/>
          <w:numId w:val="8"/>
        </w:numPr>
        <w:autoSpaceDE w:val="0"/>
        <w:autoSpaceDN w:val="0"/>
        <w:spacing w:after="0"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184FC4">
        <w:rPr>
          <w:rFonts w:ascii="Times New Roman" w:eastAsia="Times New Roman" w:hAnsi="Times New Roman" w:cs="Times New Roman"/>
          <w:sz w:val="28"/>
          <w:szCs w:val="28"/>
          <w:lang w:eastAsia="ru-RU"/>
        </w:rPr>
        <w:t xml:space="preserve">силить </w:t>
      </w:r>
      <w:proofErr w:type="gramStart"/>
      <w:r w:rsidR="00184FC4">
        <w:rPr>
          <w:rFonts w:ascii="Times New Roman" w:eastAsia="Times New Roman" w:hAnsi="Times New Roman" w:cs="Times New Roman"/>
          <w:sz w:val="28"/>
          <w:szCs w:val="28"/>
          <w:lang w:eastAsia="ru-RU"/>
        </w:rPr>
        <w:t xml:space="preserve">контроль </w:t>
      </w:r>
      <w:r w:rsidRPr="001F4E1C">
        <w:rPr>
          <w:rFonts w:ascii="Times New Roman" w:eastAsia="Times New Roman" w:hAnsi="Times New Roman" w:cs="Times New Roman"/>
          <w:sz w:val="28"/>
          <w:szCs w:val="28"/>
          <w:lang w:eastAsia="ru-RU"/>
        </w:rPr>
        <w:t>за</w:t>
      </w:r>
      <w:proofErr w:type="gramEnd"/>
      <w:r w:rsidRPr="001F4E1C">
        <w:rPr>
          <w:rFonts w:ascii="Times New Roman" w:eastAsia="Times New Roman" w:hAnsi="Times New Roman" w:cs="Times New Roman"/>
          <w:sz w:val="28"/>
          <w:szCs w:val="28"/>
          <w:lang w:eastAsia="ru-RU"/>
        </w:rPr>
        <w:t xml:space="preserve"> составлением </w:t>
      </w:r>
      <w:r>
        <w:rPr>
          <w:rFonts w:ascii="Times New Roman" w:eastAsia="Times New Roman" w:hAnsi="Times New Roman" w:cs="Times New Roman"/>
          <w:sz w:val="28"/>
          <w:szCs w:val="28"/>
          <w:lang w:eastAsia="ru-RU"/>
        </w:rPr>
        <w:t>Описания объекта закупки</w:t>
      </w:r>
      <w:r w:rsidRPr="001F4E1C">
        <w:rPr>
          <w:rFonts w:ascii="Times New Roman" w:eastAsia="Times New Roman" w:hAnsi="Times New Roman" w:cs="Times New Roman"/>
          <w:sz w:val="28"/>
          <w:szCs w:val="28"/>
          <w:lang w:eastAsia="ru-RU"/>
        </w:rPr>
        <w:t xml:space="preserve">, </w:t>
      </w:r>
      <w:r w:rsidR="000507AE">
        <w:rPr>
          <w:rFonts w:ascii="Times New Roman" w:eastAsia="Times New Roman" w:hAnsi="Times New Roman" w:cs="Times New Roman"/>
          <w:sz w:val="28"/>
          <w:szCs w:val="28"/>
          <w:lang w:eastAsia="ru-RU"/>
        </w:rPr>
        <w:t xml:space="preserve">при необходимости </w:t>
      </w:r>
      <w:r w:rsidRPr="001F4E1C">
        <w:rPr>
          <w:rFonts w:ascii="Times New Roman" w:eastAsia="Times New Roman" w:hAnsi="Times New Roman" w:cs="Times New Roman"/>
          <w:sz w:val="28"/>
          <w:szCs w:val="28"/>
          <w:lang w:eastAsia="ru-RU"/>
        </w:rPr>
        <w:t>привлекать экспертов.</w:t>
      </w:r>
    </w:p>
    <w:p w:rsidR="001F4E1C" w:rsidRDefault="001F4E1C" w:rsidP="001F4E1C">
      <w:pPr>
        <w:widowControl w:val="0"/>
        <w:numPr>
          <w:ilvl w:val="0"/>
          <w:numId w:val="8"/>
        </w:numPr>
        <w:autoSpaceDE w:val="0"/>
        <w:autoSpaceDN w:val="0"/>
        <w:spacing w:after="0"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1F4E1C">
        <w:rPr>
          <w:rFonts w:ascii="Times New Roman" w:eastAsia="Times New Roman" w:hAnsi="Times New Roman" w:cs="Times New Roman"/>
          <w:sz w:val="28"/>
          <w:szCs w:val="28"/>
          <w:lang w:eastAsia="ru-RU"/>
        </w:rPr>
        <w:t>беспечить достоверность данных НМЦК.</w:t>
      </w:r>
    </w:p>
    <w:p w:rsidR="001F4E1C" w:rsidRPr="001F4E1C" w:rsidRDefault="001F4E1C" w:rsidP="001F4E1C">
      <w:pPr>
        <w:widowControl w:val="0"/>
        <w:numPr>
          <w:ilvl w:val="0"/>
          <w:numId w:val="8"/>
        </w:numPr>
        <w:autoSpaceDE w:val="0"/>
        <w:autoSpaceDN w:val="0"/>
        <w:spacing w:after="0"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Стремиться к 100 % планированию закупок конкурентными способами</w:t>
      </w:r>
      <w:r w:rsidR="00184FC4">
        <w:rPr>
          <w:rFonts w:ascii="Times New Roman" w:eastAsia="Times New Roman" w:hAnsi="Times New Roman" w:cs="Times New Roman"/>
          <w:sz w:val="28"/>
          <w:szCs w:val="28"/>
          <w:lang w:eastAsia="ru-RU"/>
        </w:rPr>
        <w:t>.</w:t>
      </w:r>
    </w:p>
    <w:p w:rsidR="001F4E1C" w:rsidRDefault="001F4E1C" w:rsidP="001F4E1C">
      <w:pPr>
        <w:numPr>
          <w:ilvl w:val="0"/>
          <w:numId w:val="9"/>
        </w:numPr>
        <w:spacing w:after="0" w:line="360" w:lineRule="auto"/>
        <w:ind w:left="0" w:firstLine="0"/>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ГРБС усилить </w:t>
      </w:r>
      <w:proofErr w:type="gramStart"/>
      <w:r>
        <w:rPr>
          <w:rFonts w:ascii="Times New Roman" w:eastAsia="Calibri" w:hAnsi="Times New Roman" w:cs="Times New Roman"/>
          <w:sz w:val="28"/>
          <w:szCs w:val="28"/>
          <w:lang w:eastAsia="ru-RU"/>
        </w:rPr>
        <w:t>контроль за</w:t>
      </w:r>
      <w:proofErr w:type="gramEnd"/>
      <w:r>
        <w:rPr>
          <w:rFonts w:ascii="Times New Roman" w:eastAsia="Calibri" w:hAnsi="Times New Roman" w:cs="Times New Roman"/>
          <w:sz w:val="28"/>
          <w:szCs w:val="28"/>
          <w:lang w:eastAsia="ru-RU"/>
        </w:rPr>
        <w:t xml:space="preserve"> планированием закупок и исполнением контрактов</w:t>
      </w:r>
      <w:r w:rsidR="00184FC4">
        <w:rPr>
          <w:rFonts w:ascii="Times New Roman" w:eastAsia="Calibri" w:hAnsi="Times New Roman" w:cs="Times New Roman"/>
          <w:sz w:val="28"/>
          <w:szCs w:val="28"/>
          <w:lang w:eastAsia="ru-RU"/>
        </w:rPr>
        <w:t>.</w:t>
      </w:r>
      <w:r w:rsidRPr="001F4E1C">
        <w:rPr>
          <w:rFonts w:ascii="Times New Roman" w:eastAsia="Calibri" w:hAnsi="Times New Roman" w:cs="Times New Roman"/>
          <w:sz w:val="28"/>
          <w:szCs w:val="28"/>
          <w:lang w:eastAsia="ru-RU"/>
        </w:rPr>
        <w:t xml:space="preserve"> </w:t>
      </w:r>
    </w:p>
    <w:p w:rsidR="009E6C96" w:rsidRDefault="009E6C96" w:rsidP="00D1581D">
      <w:pPr>
        <w:spacing w:after="0" w:line="360" w:lineRule="auto"/>
        <w:contextualSpacing/>
        <w:jc w:val="both"/>
        <w:rPr>
          <w:rFonts w:ascii="Times New Roman" w:eastAsia="Calibri" w:hAnsi="Times New Roman" w:cs="Times New Roman"/>
          <w:sz w:val="28"/>
          <w:szCs w:val="28"/>
          <w:lang w:eastAsia="ru-RU"/>
        </w:rPr>
      </w:pPr>
    </w:p>
    <w:p w:rsidR="00181BBB" w:rsidRDefault="00181BBB" w:rsidP="00D1581D">
      <w:pPr>
        <w:spacing w:after="0" w:line="360" w:lineRule="auto"/>
        <w:contextualSpacing/>
        <w:jc w:val="both"/>
        <w:rPr>
          <w:rFonts w:ascii="Times New Roman" w:eastAsia="Calibri" w:hAnsi="Times New Roman" w:cs="Times New Roman"/>
          <w:sz w:val="28"/>
          <w:szCs w:val="28"/>
          <w:lang w:eastAsia="ru-RU"/>
        </w:rPr>
      </w:pPr>
      <w:bookmarkStart w:id="0" w:name="_GoBack"/>
      <w:bookmarkEnd w:id="0"/>
    </w:p>
    <w:p w:rsidR="009E6C96" w:rsidRPr="009E6C96" w:rsidRDefault="009E6C96" w:rsidP="009E6C96">
      <w:pPr>
        <w:spacing w:after="0" w:line="360" w:lineRule="auto"/>
        <w:contextualSpacing/>
        <w:jc w:val="center"/>
        <w:rPr>
          <w:rFonts w:ascii="Times New Roman" w:eastAsia="Calibri" w:hAnsi="Times New Roman" w:cs="Times New Roman"/>
          <w:i/>
          <w:sz w:val="28"/>
          <w:szCs w:val="28"/>
          <w:lang w:eastAsia="ru-RU"/>
        </w:rPr>
      </w:pPr>
      <w:r w:rsidRPr="009E6C96">
        <w:rPr>
          <w:rFonts w:ascii="Times New Roman" w:eastAsia="Calibri" w:hAnsi="Times New Roman" w:cs="Times New Roman"/>
          <w:i/>
          <w:sz w:val="28"/>
          <w:szCs w:val="28"/>
          <w:lang w:eastAsia="ru-RU"/>
        </w:rPr>
        <w:t>Планирование муниципальной закупки должно начинаться  заблаговременно. Именно грамотное планирование и ответственный подход позволит заключить  выгодный муниципальный контракт.</w:t>
      </w:r>
    </w:p>
    <w:sectPr w:rsidR="009E6C96" w:rsidRPr="009E6C96" w:rsidSect="00310811">
      <w:headerReference w:type="default" r:id="rId16"/>
      <w:pgSz w:w="11906" w:h="16838"/>
      <w:pgMar w:top="567" w:right="720" w:bottom="567" w:left="720" w:header="709" w:footer="709"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58" w:rsidRDefault="003C3D58" w:rsidP="00CA7742">
      <w:pPr>
        <w:spacing w:after="0" w:line="240" w:lineRule="auto"/>
      </w:pPr>
      <w:r>
        <w:separator/>
      </w:r>
    </w:p>
  </w:endnote>
  <w:endnote w:type="continuationSeparator" w:id="0">
    <w:p w:rsidR="003C3D58" w:rsidRDefault="003C3D58" w:rsidP="00CA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ohit Hindi">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58" w:rsidRDefault="003C3D58" w:rsidP="00CA7742">
      <w:pPr>
        <w:spacing w:after="0" w:line="240" w:lineRule="auto"/>
      </w:pPr>
      <w:r>
        <w:separator/>
      </w:r>
    </w:p>
  </w:footnote>
  <w:footnote w:type="continuationSeparator" w:id="0">
    <w:p w:rsidR="003C3D58" w:rsidRDefault="003C3D58" w:rsidP="00CA7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096925"/>
      <w:docPartObj>
        <w:docPartGallery w:val="Page Numbers (Top of Page)"/>
        <w:docPartUnique/>
      </w:docPartObj>
    </w:sdtPr>
    <w:sdtEndPr/>
    <w:sdtContent>
      <w:p w:rsidR="00CA7742" w:rsidRDefault="00CA7742">
        <w:pPr>
          <w:pStyle w:val="af"/>
          <w:jc w:val="center"/>
        </w:pPr>
        <w:r w:rsidRPr="00CA7742">
          <w:rPr>
            <w:sz w:val="24"/>
            <w:szCs w:val="24"/>
          </w:rPr>
          <w:fldChar w:fldCharType="begin"/>
        </w:r>
        <w:r w:rsidRPr="00CA7742">
          <w:rPr>
            <w:sz w:val="24"/>
            <w:szCs w:val="24"/>
          </w:rPr>
          <w:instrText>PAGE   \* MERGEFORMAT</w:instrText>
        </w:r>
        <w:r w:rsidRPr="00CA7742">
          <w:rPr>
            <w:sz w:val="24"/>
            <w:szCs w:val="24"/>
          </w:rPr>
          <w:fldChar w:fldCharType="separate"/>
        </w:r>
        <w:r w:rsidR="00181BBB">
          <w:rPr>
            <w:noProof/>
            <w:sz w:val="24"/>
            <w:szCs w:val="24"/>
          </w:rPr>
          <w:t>17</w:t>
        </w:r>
        <w:r w:rsidRPr="00CA7742">
          <w:rPr>
            <w:sz w:val="24"/>
            <w:szCs w:val="24"/>
          </w:rPr>
          <w:fldChar w:fldCharType="end"/>
        </w:r>
      </w:p>
    </w:sdtContent>
  </w:sdt>
  <w:p w:rsidR="00CA7742" w:rsidRDefault="00CA774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nsid w:val="030470EA"/>
    <w:multiLevelType w:val="hybridMultilevel"/>
    <w:tmpl w:val="7332A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71739"/>
    <w:multiLevelType w:val="hybridMultilevel"/>
    <w:tmpl w:val="F7760BC2"/>
    <w:lvl w:ilvl="0" w:tplc="09068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7D5834"/>
    <w:multiLevelType w:val="hybridMultilevel"/>
    <w:tmpl w:val="479466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92C"/>
    <w:rsid w:val="0000122F"/>
    <w:rsid w:val="00002058"/>
    <w:rsid w:val="000039F3"/>
    <w:rsid w:val="00005AC8"/>
    <w:rsid w:val="00005D99"/>
    <w:rsid w:val="00005E9D"/>
    <w:rsid w:val="00006784"/>
    <w:rsid w:val="00006B2D"/>
    <w:rsid w:val="00006DD9"/>
    <w:rsid w:val="00007739"/>
    <w:rsid w:val="00012DBE"/>
    <w:rsid w:val="000148D8"/>
    <w:rsid w:val="000211BF"/>
    <w:rsid w:val="00021308"/>
    <w:rsid w:val="00031AF7"/>
    <w:rsid w:val="0003416B"/>
    <w:rsid w:val="000403A4"/>
    <w:rsid w:val="00041675"/>
    <w:rsid w:val="000455AE"/>
    <w:rsid w:val="000468DE"/>
    <w:rsid w:val="000507AE"/>
    <w:rsid w:val="0005571D"/>
    <w:rsid w:val="00063248"/>
    <w:rsid w:val="000639EB"/>
    <w:rsid w:val="00064474"/>
    <w:rsid w:val="00064C0C"/>
    <w:rsid w:val="00071014"/>
    <w:rsid w:val="00071487"/>
    <w:rsid w:val="0007208D"/>
    <w:rsid w:val="00074100"/>
    <w:rsid w:val="00074249"/>
    <w:rsid w:val="000752AF"/>
    <w:rsid w:val="00077998"/>
    <w:rsid w:val="0008257F"/>
    <w:rsid w:val="00082B41"/>
    <w:rsid w:val="00082CD0"/>
    <w:rsid w:val="00082EBB"/>
    <w:rsid w:val="0008481F"/>
    <w:rsid w:val="00084AF4"/>
    <w:rsid w:val="0008710C"/>
    <w:rsid w:val="00093D86"/>
    <w:rsid w:val="00096015"/>
    <w:rsid w:val="000960CF"/>
    <w:rsid w:val="00096316"/>
    <w:rsid w:val="000A0A6B"/>
    <w:rsid w:val="000B21DD"/>
    <w:rsid w:val="000B3A3F"/>
    <w:rsid w:val="000B49F5"/>
    <w:rsid w:val="000B5601"/>
    <w:rsid w:val="000B5FAD"/>
    <w:rsid w:val="000B70E1"/>
    <w:rsid w:val="000C1D64"/>
    <w:rsid w:val="000C2A8C"/>
    <w:rsid w:val="000C3808"/>
    <w:rsid w:val="000C45E3"/>
    <w:rsid w:val="000C66B9"/>
    <w:rsid w:val="000D0051"/>
    <w:rsid w:val="000D206F"/>
    <w:rsid w:val="000D456D"/>
    <w:rsid w:val="000D50B6"/>
    <w:rsid w:val="000D6555"/>
    <w:rsid w:val="000D6B42"/>
    <w:rsid w:val="000E370B"/>
    <w:rsid w:val="000E49D2"/>
    <w:rsid w:val="000F3D17"/>
    <w:rsid w:val="000F5FFA"/>
    <w:rsid w:val="00101125"/>
    <w:rsid w:val="001029D2"/>
    <w:rsid w:val="001029E9"/>
    <w:rsid w:val="00105405"/>
    <w:rsid w:val="001101E1"/>
    <w:rsid w:val="001110B3"/>
    <w:rsid w:val="00111DD6"/>
    <w:rsid w:val="00112AA7"/>
    <w:rsid w:val="0011722E"/>
    <w:rsid w:val="001211C5"/>
    <w:rsid w:val="00136188"/>
    <w:rsid w:val="00141865"/>
    <w:rsid w:val="00143AA4"/>
    <w:rsid w:val="00145BA1"/>
    <w:rsid w:val="001466DC"/>
    <w:rsid w:val="00150846"/>
    <w:rsid w:val="001513CC"/>
    <w:rsid w:val="0015349E"/>
    <w:rsid w:val="00154497"/>
    <w:rsid w:val="00155E1B"/>
    <w:rsid w:val="00156C5C"/>
    <w:rsid w:val="001570C9"/>
    <w:rsid w:val="00157133"/>
    <w:rsid w:val="00157964"/>
    <w:rsid w:val="001602FA"/>
    <w:rsid w:val="0016129F"/>
    <w:rsid w:val="00162937"/>
    <w:rsid w:val="00165F14"/>
    <w:rsid w:val="001731B8"/>
    <w:rsid w:val="00181BBB"/>
    <w:rsid w:val="00184FC4"/>
    <w:rsid w:val="00190AE8"/>
    <w:rsid w:val="001953FF"/>
    <w:rsid w:val="001972F9"/>
    <w:rsid w:val="0019775F"/>
    <w:rsid w:val="00197B56"/>
    <w:rsid w:val="00197D73"/>
    <w:rsid w:val="001A0F81"/>
    <w:rsid w:val="001A5A03"/>
    <w:rsid w:val="001B0988"/>
    <w:rsid w:val="001B1E19"/>
    <w:rsid w:val="001B3436"/>
    <w:rsid w:val="001B401F"/>
    <w:rsid w:val="001B7869"/>
    <w:rsid w:val="001B78E6"/>
    <w:rsid w:val="001C30FC"/>
    <w:rsid w:val="001C50BA"/>
    <w:rsid w:val="001C540F"/>
    <w:rsid w:val="001D03B8"/>
    <w:rsid w:val="001D0E62"/>
    <w:rsid w:val="001D3B55"/>
    <w:rsid w:val="001D3BC3"/>
    <w:rsid w:val="001D3FE7"/>
    <w:rsid w:val="001D6391"/>
    <w:rsid w:val="001E0D78"/>
    <w:rsid w:val="001E439F"/>
    <w:rsid w:val="001E65AD"/>
    <w:rsid w:val="001E7AFE"/>
    <w:rsid w:val="001F4CE2"/>
    <w:rsid w:val="001F4E1C"/>
    <w:rsid w:val="00203359"/>
    <w:rsid w:val="00204D0A"/>
    <w:rsid w:val="00205751"/>
    <w:rsid w:val="0020610D"/>
    <w:rsid w:val="0020793D"/>
    <w:rsid w:val="00211997"/>
    <w:rsid w:val="00211A09"/>
    <w:rsid w:val="002128D5"/>
    <w:rsid w:val="00212BBB"/>
    <w:rsid w:val="002135DC"/>
    <w:rsid w:val="002200AA"/>
    <w:rsid w:val="00220F60"/>
    <w:rsid w:val="00223CA4"/>
    <w:rsid w:val="0022554D"/>
    <w:rsid w:val="002255CE"/>
    <w:rsid w:val="00231FB1"/>
    <w:rsid w:val="002321BF"/>
    <w:rsid w:val="00232A4C"/>
    <w:rsid w:val="002346CD"/>
    <w:rsid w:val="0023573D"/>
    <w:rsid w:val="00237886"/>
    <w:rsid w:val="002415F0"/>
    <w:rsid w:val="00243F1A"/>
    <w:rsid w:val="002461E7"/>
    <w:rsid w:val="00250361"/>
    <w:rsid w:val="002517EF"/>
    <w:rsid w:val="002541C3"/>
    <w:rsid w:val="00254521"/>
    <w:rsid w:val="00255A6D"/>
    <w:rsid w:val="00255D38"/>
    <w:rsid w:val="00256496"/>
    <w:rsid w:val="002566DE"/>
    <w:rsid w:val="00256D1B"/>
    <w:rsid w:val="002616C7"/>
    <w:rsid w:val="00262DDD"/>
    <w:rsid w:val="00262F92"/>
    <w:rsid w:val="00263843"/>
    <w:rsid w:val="00264EF8"/>
    <w:rsid w:val="0026649F"/>
    <w:rsid w:val="0026655A"/>
    <w:rsid w:val="00267138"/>
    <w:rsid w:val="00271267"/>
    <w:rsid w:val="002729E1"/>
    <w:rsid w:val="00274050"/>
    <w:rsid w:val="00275CA4"/>
    <w:rsid w:val="0027608D"/>
    <w:rsid w:val="00276BBC"/>
    <w:rsid w:val="002819B1"/>
    <w:rsid w:val="00282DE7"/>
    <w:rsid w:val="0028342F"/>
    <w:rsid w:val="00290853"/>
    <w:rsid w:val="002930CD"/>
    <w:rsid w:val="00293A6C"/>
    <w:rsid w:val="00295F3E"/>
    <w:rsid w:val="002968E7"/>
    <w:rsid w:val="002A011A"/>
    <w:rsid w:val="002A23A8"/>
    <w:rsid w:val="002A7F42"/>
    <w:rsid w:val="002B17A1"/>
    <w:rsid w:val="002B1FAC"/>
    <w:rsid w:val="002B202F"/>
    <w:rsid w:val="002B2304"/>
    <w:rsid w:val="002B7565"/>
    <w:rsid w:val="002C0E41"/>
    <w:rsid w:val="002C1160"/>
    <w:rsid w:val="002C1839"/>
    <w:rsid w:val="002C4AF4"/>
    <w:rsid w:val="002C561C"/>
    <w:rsid w:val="002C62D2"/>
    <w:rsid w:val="002D0A7D"/>
    <w:rsid w:val="002D0AD6"/>
    <w:rsid w:val="002D15BD"/>
    <w:rsid w:val="002D28D7"/>
    <w:rsid w:val="002D4005"/>
    <w:rsid w:val="002D7E6B"/>
    <w:rsid w:val="002F0762"/>
    <w:rsid w:val="002F4133"/>
    <w:rsid w:val="00302F10"/>
    <w:rsid w:val="0030532A"/>
    <w:rsid w:val="00307F8E"/>
    <w:rsid w:val="00310811"/>
    <w:rsid w:val="00311943"/>
    <w:rsid w:val="00314BB1"/>
    <w:rsid w:val="003151B7"/>
    <w:rsid w:val="00322F2E"/>
    <w:rsid w:val="00325466"/>
    <w:rsid w:val="00325FBC"/>
    <w:rsid w:val="00326DF3"/>
    <w:rsid w:val="00327DF2"/>
    <w:rsid w:val="00330144"/>
    <w:rsid w:val="003306AE"/>
    <w:rsid w:val="00332B8D"/>
    <w:rsid w:val="00333F31"/>
    <w:rsid w:val="00337552"/>
    <w:rsid w:val="00340B38"/>
    <w:rsid w:val="00342798"/>
    <w:rsid w:val="003459DF"/>
    <w:rsid w:val="00346C11"/>
    <w:rsid w:val="00347011"/>
    <w:rsid w:val="0035263E"/>
    <w:rsid w:val="00353822"/>
    <w:rsid w:val="00354998"/>
    <w:rsid w:val="00354D05"/>
    <w:rsid w:val="00355CA7"/>
    <w:rsid w:val="00357F3F"/>
    <w:rsid w:val="003612D8"/>
    <w:rsid w:val="0036188F"/>
    <w:rsid w:val="00362975"/>
    <w:rsid w:val="00362EEF"/>
    <w:rsid w:val="003656C3"/>
    <w:rsid w:val="00365A63"/>
    <w:rsid w:val="003674DA"/>
    <w:rsid w:val="0036792D"/>
    <w:rsid w:val="00373A4A"/>
    <w:rsid w:val="00376DF1"/>
    <w:rsid w:val="00381A0A"/>
    <w:rsid w:val="003827E8"/>
    <w:rsid w:val="003854D3"/>
    <w:rsid w:val="00385BB5"/>
    <w:rsid w:val="00385C7C"/>
    <w:rsid w:val="0038691B"/>
    <w:rsid w:val="0038730D"/>
    <w:rsid w:val="0039423C"/>
    <w:rsid w:val="00395195"/>
    <w:rsid w:val="003A2263"/>
    <w:rsid w:val="003A4238"/>
    <w:rsid w:val="003A6508"/>
    <w:rsid w:val="003B0F1F"/>
    <w:rsid w:val="003B1EE8"/>
    <w:rsid w:val="003B45FB"/>
    <w:rsid w:val="003B7D91"/>
    <w:rsid w:val="003C075B"/>
    <w:rsid w:val="003C3D58"/>
    <w:rsid w:val="003C7613"/>
    <w:rsid w:val="003D12A3"/>
    <w:rsid w:val="003D3CDD"/>
    <w:rsid w:val="003D5779"/>
    <w:rsid w:val="003D5D08"/>
    <w:rsid w:val="003D73B4"/>
    <w:rsid w:val="003D7E2E"/>
    <w:rsid w:val="003E452B"/>
    <w:rsid w:val="003E5334"/>
    <w:rsid w:val="003E5CDA"/>
    <w:rsid w:val="003E6CFE"/>
    <w:rsid w:val="003E7E3B"/>
    <w:rsid w:val="003F01E3"/>
    <w:rsid w:val="003F0CA7"/>
    <w:rsid w:val="003F1424"/>
    <w:rsid w:val="003F2E12"/>
    <w:rsid w:val="003F3CBA"/>
    <w:rsid w:val="003F4649"/>
    <w:rsid w:val="003F7920"/>
    <w:rsid w:val="00406A53"/>
    <w:rsid w:val="00407B66"/>
    <w:rsid w:val="00410040"/>
    <w:rsid w:val="004102C8"/>
    <w:rsid w:val="00413798"/>
    <w:rsid w:val="00414751"/>
    <w:rsid w:val="004152F2"/>
    <w:rsid w:val="00417B5D"/>
    <w:rsid w:val="004215F0"/>
    <w:rsid w:val="00431DF7"/>
    <w:rsid w:val="004332AF"/>
    <w:rsid w:val="00434613"/>
    <w:rsid w:val="0043481D"/>
    <w:rsid w:val="00434BAF"/>
    <w:rsid w:val="0043542E"/>
    <w:rsid w:val="00446C94"/>
    <w:rsid w:val="0044778A"/>
    <w:rsid w:val="00453C99"/>
    <w:rsid w:val="00454C57"/>
    <w:rsid w:val="00455F3E"/>
    <w:rsid w:val="00457BEB"/>
    <w:rsid w:val="00460655"/>
    <w:rsid w:val="0046141E"/>
    <w:rsid w:val="00462937"/>
    <w:rsid w:val="0047032B"/>
    <w:rsid w:val="00471E14"/>
    <w:rsid w:val="00474AE6"/>
    <w:rsid w:val="00475A56"/>
    <w:rsid w:val="00477A5A"/>
    <w:rsid w:val="004817F5"/>
    <w:rsid w:val="004848DE"/>
    <w:rsid w:val="0048556F"/>
    <w:rsid w:val="004865D4"/>
    <w:rsid w:val="0049052C"/>
    <w:rsid w:val="004917D2"/>
    <w:rsid w:val="004967C0"/>
    <w:rsid w:val="004A0368"/>
    <w:rsid w:val="004A422E"/>
    <w:rsid w:val="004A527B"/>
    <w:rsid w:val="004B0176"/>
    <w:rsid w:val="004B0365"/>
    <w:rsid w:val="004B1155"/>
    <w:rsid w:val="004B1267"/>
    <w:rsid w:val="004B162E"/>
    <w:rsid w:val="004B7767"/>
    <w:rsid w:val="004C0935"/>
    <w:rsid w:val="004C2D0F"/>
    <w:rsid w:val="004C3346"/>
    <w:rsid w:val="004C5B90"/>
    <w:rsid w:val="004C68D5"/>
    <w:rsid w:val="004E1EF1"/>
    <w:rsid w:val="004E3B22"/>
    <w:rsid w:val="004E3FB7"/>
    <w:rsid w:val="004E4326"/>
    <w:rsid w:val="004E6E87"/>
    <w:rsid w:val="004E73A3"/>
    <w:rsid w:val="004E7DAA"/>
    <w:rsid w:val="004F25AF"/>
    <w:rsid w:val="004F27E8"/>
    <w:rsid w:val="004F78A7"/>
    <w:rsid w:val="0050304F"/>
    <w:rsid w:val="005043BB"/>
    <w:rsid w:val="005049CA"/>
    <w:rsid w:val="0050610E"/>
    <w:rsid w:val="00507BF7"/>
    <w:rsid w:val="00510015"/>
    <w:rsid w:val="005133DA"/>
    <w:rsid w:val="00514657"/>
    <w:rsid w:val="00514B72"/>
    <w:rsid w:val="00515E52"/>
    <w:rsid w:val="005174E7"/>
    <w:rsid w:val="00517A21"/>
    <w:rsid w:val="00521F0E"/>
    <w:rsid w:val="00522FF6"/>
    <w:rsid w:val="00527393"/>
    <w:rsid w:val="00534E4B"/>
    <w:rsid w:val="0054066A"/>
    <w:rsid w:val="00541850"/>
    <w:rsid w:val="00542698"/>
    <w:rsid w:val="0055036E"/>
    <w:rsid w:val="005509C3"/>
    <w:rsid w:val="00552BED"/>
    <w:rsid w:val="00553EC9"/>
    <w:rsid w:val="00555C84"/>
    <w:rsid w:val="00556977"/>
    <w:rsid w:val="00556DA7"/>
    <w:rsid w:val="005617FC"/>
    <w:rsid w:val="005618EF"/>
    <w:rsid w:val="0057184D"/>
    <w:rsid w:val="00573F9B"/>
    <w:rsid w:val="00577425"/>
    <w:rsid w:val="00577711"/>
    <w:rsid w:val="00577A31"/>
    <w:rsid w:val="0058605F"/>
    <w:rsid w:val="0059020D"/>
    <w:rsid w:val="005906E3"/>
    <w:rsid w:val="00590828"/>
    <w:rsid w:val="00590D21"/>
    <w:rsid w:val="00592780"/>
    <w:rsid w:val="0059444D"/>
    <w:rsid w:val="00596614"/>
    <w:rsid w:val="005A2E65"/>
    <w:rsid w:val="005A6FFE"/>
    <w:rsid w:val="005B026F"/>
    <w:rsid w:val="005B1968"/>
    <w:rsid w:val="005B28B3"/>
    <w:rsid w:val="005B41BB"/>
    <w:rsid w:val="005B49D6"/>
    <w:rsid w:val="005B6D1E"/>
    <w:rsid w:val="005B6D88"/>
    <w:rsid w:val="005B733A"/>
    <w:rsid w:val="005C1B3E"/>
    <w:rsid w:val="005C5299"/>
    <w:rsid w:val="005C58A0"/>
    <w:rsid w:val="005C631E"/>
    <w:rsid w:val="005D22E5"/>
    <w:rsid w:val="005D56F6"/>
    <w:rsid w:val="005D7229"/>
    <w:rsid w:val="005D76B3"/>
    <w:rsid w:val="005D78AB"/>
    <w:rsid w:val="005E0AD5"/>
    <w:rsid w:val="005E5E08"/>
    <w:rsid w:val="005E6A96"/>
    <w:rsid w:val="005F11C7"/>
    <w:rsid w:val="005F2FBE"/>
    <w:rsid w:val="005F390A"/>
    <w:rsid w:val="005F3BBE"/>
    <w:rsid w:val="00602250"/>
    <w:rsid w:val="00604B5E"/>
    <w:rsid w:val="00604DC0"/>
    <w:rsid w:val="00605E54"/>
    <w:rsid w:val="00606223"/>
    <w:rsid w:val="00607439"/>
    <w:rsid w:val="00611D09"/>
    <w:rsid w:val="00613BD8"/>
    <w:rsid w:val="00615A6A"/>
    <w:rsid w:val="00616D4C"/>
    <w:rsid w:val="00622DA1"/>
    <w:rsid w:val="00625A12"/>
    <w:rsid w:val="0062728F"/>
    <w:rsid w:val="00627444"/>
    <w:rsid w:val="00627655"/>
    <w:rsid w:val="00631613"/>
    <w:rsid w:val="00632919"/>
    <w:rsid w:val="00632CCB"/>
    <w:rsid w:val="006332B5"/>
    <w:rsid w:val="0063611C"/>
    <w:rsid w:val="00637588"/>
    <w:rsid w:val="00640F2E"/>
    <w:rsid w:val="00641229"/>
    <w:rsid w:val="00643B95"/>
    <w:rsid w:val="00651266"/>
    <w:rsid w:val="0065313B"/>
    <w:rsid w:val="006539D7"/>
    <w:rsid w:val="00654218"/>
    <w:rsid w:val="00657FAE"/>
    <w:rsid w:val="0066308D"/>
    <w:rsid w:val="006640EB"/>
    <w:rsid w:val="006667F5"/>
    <w:rsid w:val="00666BCF"/>
    <w:rsid w:val="00670147"/>
    <w:rsid w:val="00673D59"/>
    <w:rsid w:val="00674C8C"/>
    <w:rsid w:val="006752BB"/>
    <w:rsid w:val="00675E47"/>
    <w:rsid w:val="00676B78"/>
    <w:rsid w:val="00686C98"/>
    <w:rsid w:val="00693F78"/>
    <w:rsid w:val="006A39BB"/>
    <w:rsid w:val="006B221E"/>
    <w:rsid w:val="006B75B0"/>
    <w:rsid w:val="006B7AF0"/>
    <w:rsid w:val="006C068A"/>
    <w:rsid w:val="006C62EB"/>
    <w:rsid w:val="006C6373"/>
    <w:rsid w:val="006C7AB7"/>
    <w:rsid w:val="006D34E4"/>
    <w:rsid w:val="006D48A1"/>
    <w:rsid w:val="006D5154"/>
    <w:rsid w:val="006D6781"/>
    <w:rsid w:val="006D72F1"/>
    <w:rsid w:val="006D7660"/>
    <w:rsid w:val="006E09CE"/>
    <w:rsid w:val="006E4B69"/>
    <w:rsid w:val="006E5D8B"/>
    <w:rsid w:val="006E720B"/>
    <w:rsid w:val="006F1449"/>
    <w:rsid w:val="006F1BAC"/>
    <w:rsid w:val="006F6554"/>
    <w:rsid w:val="00706847"/>
    <w:rsid w:val="00707771"/>
    <w:rsid w:val="00711324"/>
    <w:rsid w:val="0071280C"/>
    <w:rsid w:val="00712A2D"/>
    <w:rsid w:val="007135BC"/>
    <w:rsid w:val="00713902"/>
    <w:rsid w:val="00714086"/>
    <w:rsid w:val="007175F0"/>
    <w:rsid w:val="00717A07"/>
    <w:rsid w:val="0072093F"/>
    <w:rsid w:val="007209D1"/>
    <w:rsid w:val="007232F5"/>
    <w:rsid w:val="007235AC"/>
    <w:rsid w:val="00725A62"/>
    <w:rsid w:val="007275C1"/>
    <w:rsid w:val="0073148E"/>
    <w:rsid w:val="00731AFA"/>
    <w:rsid w:val="00742972"/>
    <w:rsid w:val="0074398F"/>
    <w:rsid w:val="00744301"/>
    <w:rsid w:val="00745370"/>
    <w:rsid w:val="00751C78"/>
    <w:rsid w:val="00754417"/>
    <w:rsid w:val="0075745A"/>
    <w:rsid w:val="00760A56"/>
    <w:rsid w:val="00760E02"/>
    <w:rsid w:val="007634E9"/>
    <w:rsid w:val="00764B36"/>
    <w:rsid w:val="00764D2C"/>
    <w:rsid w:val="00764F80"/>
    <w:rsid w:val="00765919"/>
    <w:rsid w:val="00770630"/>
    <w:rsid w:val="007745D7"/>
    <w:rsid w:val="00786F13"/>
    <w:rsid w:val="007956AB"/>
    <w:rsid w:val="00795703"/>
    <w:rsid w:val="00797CA9"/>
    <w:rsid w:val="00797D08"/>
    <w:rsid w:val="007A5935"/>
    <w:rsid w:val="007B3C07"/>
    <w:rsid w:val="007B41DE"/>
    <w:rsid w:val="007B4FE5"/>
    <w:rsid w:val="007B61B0"/>
    <w:rsid w:val="007C2F62"/>
    <w:rsid w:val="007C56EF"/>
    <w:rsid w:val="007D218E"/>
    <w:rsid w:val="007D5428"/>
    <w:rsid w:val="007D587C"/>
    <w:rsid w:val="007D5890"/>
    <w:rsid w:val="007D62CD"/>
    <w:rsid w:val="007E02A5"/>
    <w:rsid w:val="007E0530"/>
    <w:rsid w:val="007E09EC"/>
    <w:rsid w:val="007E11A9"/>
    <w:rsid w:val="007E1416"/>
    <w:rsid w:val="007E5D3E"/>
    <w:rsid w:val="007E7683"/>
    <w:rsid w:val="007F2FC2"/>
    <w:rsid w:val="007F465F"/>
    <w:rsid w:val="007F528F"/>
    <w:rsid w:val="007F6569"/>
    <w:rsid w:val="007F6B66"/>
    <w:rsid w:val="00801123"/>
    <w:rsid w:val="00801CD0"/>
    <w:rsid w:val="00802CBD"/>
    <w:rsid w:val="0080325B"/>
    <w:rsid w:val="00804FA1"/>
    <w:rsid w:val="0080716D"/>
    <w:rsid w:val="00811669"/>
    <w:rsid w:val="0081337D"/>
    <w:rsid w:val="00817875"/>
    <w:rsid w:val="008213A6"/>
    <w:rsid w:val="00825006"/>
    <w:rsid w:val="00826B49"/>
    <w:rsid w:val="008278F7"/>
    <w:rsid w:val="00827927"/>
    <w:rsid w:val="008303FF"/>
    <w:rsid w:val="00830A54"/>
    <w:rsid w:val="008319AB"/>
    <w:rsid w:val="00831B50"/>
    <w:rsid w:val="00833E87"/>
    <w:rsid w:val="00835AC0"/>
    <w:rsid w:val="0083624A"/>
    <w:rsid w:val="00837922"/>
    <w:rsid w:val="00841917"/>
    <w:rsid w:val="008424EE"/>
    <w:rsid w:val="00842F03"/>
    <w:rsid w:val="00844296"/>
    <w:rsid w:val="008460DE"/>
    <w:rsid w:val="00846490"/>
    <w:rsid w:val="00853CDA"/>
    <w:rsid w:val="00864958"/>
    <w:rsid w:val="00864A9C"/>
    <w:rsid w:val="00864BF1"/>
    <w:rsid w:val="00864DD3"/>
    <w:rsid w:val="008662CC"/>
    <w:rsid w:val="00866DF2"/>
    <w:rsid w:val="00870726"/>
    <w:rsid w:val="00871291"/>
    <w:rsid w:val="00872B09"/>
    <w:rsid w:val="00872BD5"/>
    <w:rsid w:val="008958E9"/>
    <w:rsid w:val="00897A80"/>
    <w:rsid w:val="008A7389"/>
    <w:rsid w:val="008B40D9"/>
    <w:rsid w:val="008B4199"/>
    <w:rsid w:val="008B65D5"/>
    <w:rsid w:val="008C11B2"/>
    <w:rsid w:val="008C471E"/>
    <w:rsid w:val="008C4E7C"/>
    <w:rsid w:val="008C5D78"/>
    <w:rsid w:val="008C6086"/>
    <w:rsid w:val="008D344E"/>
    <w:rsid w:val="008D357D"/>
    <w:rsid w:val="008D3ADE"/>
    <w:rsid w:val="008D7EDC"/>
    <w:rsid w:val="008E2FE9"/>
    <w:rsid w:val="008E61D1"/>
    <w:rsid w:val="008F1CF0"/>
    <w:rsid w:val="008F21B8"/>
    <w:rsid w:val="008F4E71"/>
    <w:rsid w:val="008F51FD"/>
    <w:rsid w:val="008F62DD"/>
    <w:rsid w:val="00902500"/>
    <w:rsid w:val="00902CAF"/>
    <w:rsid w:val="0090324A"/>
    <w:rsid w:val="00904187"/>
    <w:rsid w:val="00905720"/>
    <w:rsid w:val="009068D2"/>
    <w:rsid w:val="00907906"/>
    <w:rsid w:val="0091067C"/>
    <w:rsid w:val="009118F9"/>
    <w:rsid w:val="00911DA3"/>
    <w:rsid w:val="00912D60"/>
    <w:rsid w:val="00914E22"/>
    <w:rsid w:val="00916755"/>
    <w:rsid w:val="009219FF"/>
    <w:rsid w:val="009221A7"/>
    <w:rsid w:val="00923D5E"/>
    <w:rsid w:val="00924336"/>
    <w:rsid w:val="009268CF"/>
    <w:rsid w:val="00927E7F"/>
    <w:rsid w:val="00932E30"/>
    <w:rsid w:val="0093564A"/>
    <w:rsid w:val="009375A6"/>
    <w:rsid w:val="00943B30"/>
    <w:rsid w:val="00944B5C"/>
    <w:rsid w:val="009461B9"/>
    <w:rsid w:val="00946D3B"/>
    <w:rsid w:val="009500A9"/>
    <w:rsid w:val="00950E1F"/>
    <w:rsid w:val="009519C0"/>
    <w:rsid w:val="00952B5E"/>
    <w:rsid w:val="0095301C"/>
    <w:rsid w:val="009570C9"/>
    <w:rsid w:val="0095710A"/>
    <w:rsid w:val="00960611"/>
    <w:rsid w:val="00961203"/>
    <w:rsid w:val="0097429B"/>
    <w:rsid w:val="00976D9D"/>
    <w:rsid w:val="0098219D"/>
    <w:rsid w:val="00983AAC"/>
    <w:rsid w:val="0098538C"/>
    <w:rsid w:val="009934BB"/>
    <w:rsid w:val="009955E0"/>
    <w:rsid w:val="00995F1C"/>
    <w:rsid w:val="009A18CE"/>
    <w:rsid w:val="009A1A91"/>
    <w:rsid w:val="009A6ABF"/>
    <w:rsid w:val="009B01AF"/>
    <w:rsid w:val="009B0568"/>
    <w:rsid w:val="009B15D9"/>
    <w:rsid w:val="009B1BDB"/>
    <w:rsid w:val="009B69EF"/>
    <w:rsid w:val="009C0E76"/>
    <w:rsid w:val="009C1335"/>
    <w:rsid w:val="009C35A8"/>
    <w:rsid w:val="009C35D6"/>
    <w:rsid w:val="009C3A71"/>
    <w:rsid w:val="009C6FE8"/>
    <w:rsid w:val="009D0E79"/>
    <w:rsid w:val="009D1B36"/>
    <w:rsid w:val="009D1CA5"/>
    <w:rsid w:val="009D1FD0"/>
    <w:rsid w:val="009D69D4"/>
    <w:rsid w:val="009D7549"/>
    <w:rsid w:val="009E2E1F"/>
    <w:rsid w:val="009E56EB"/>
    <w:rsid w:val="009E6C96"/>
    <w:rsid w:val="009F539D"/>
    <w:rsid w:val="009F619B"/>
    <w:rsid w:val="00A01DF3"/>
    <w:rsid w:val="00A023DC"/>
    <w:rsid w:val="00A07CE5"/>
    <w:rsid w:val="00A10650"/>
    <w:rsid w:val="00A12D04"/>
    <w:rsid w:val="00A1569A"/>
    <w:rsid w:val="00A16881"/>
    <w:rsid w:val="00A21145"/>
    <w:rsid w:val="00A24409"/>
    <w:rsid w:val="00A2456E"/>
    <w:rsid w:val="00A26A03"/>
    <w:rsid w:val="00A27000"/>
    <w:rsid w:val="00A35284"/>
    <w:rsid w:val="00A35E86"/>
    <w:rsid w:val="00A36944"/>
    <w:rsid w:val="00A41F27"/>
    <w:rsid w:val="00A4333F"/>
    <w:rsid w:val="00A44133"/>
    <w:rsid w:val="00A44167"/>
    <w:rsid w:val="00A4428A"/>
    <w:rsid w:val="00A50B0E"/>
    <w:rsid w:val="00A50BA6"/>
    <w:rsid w:val="00A51405"/>
    <w:rsid w:val="00A51DB1"/>
    <w:rsid w:val="00A51F16"/>
    <w:rsid w:val="00A57DB1"/>
    <w:rsid w:val="00A609CA"/>
    <w:rsid w:val="00A62718"/>
    <w:rsid w:val="00A6537C"/>
    <w:rsid w:val="00A66625"/>
    <w:rsid w:val="00A675CF"/>
    <w:rsid w:val="00A7680D"/>
    <w:rsid w:val="00A8092A"/>
    <w:rsid w:val="00A80931"/>
    <w:rsid w:val="00A815AE"/>
    <w:rsid w:val="00A81EF1"/>
    <w:rsid w:val="00A9109C"/>
    <w:rsid w:val="00A91A1B"/>
    <w:rsid w:val="00A93F1B"/>
    <w:rsid w:val="00A968C9"/>
    <w:rsid w:val="00A96EAC"/>
    <w:rsid w:val="00AA1A3F"/>
    <w:rsid w:val="00AA2EA7"/>
    <w:rsid w:val="00AA4795"/>
    <w:rsid w:val="00AA65A5"/>
    <w:rsid w:val="00AB27AE"/>
    <w:rsid w:val="00AD264A"/>
    <w:rsid w:val="00AD580C"/>
    <w:rsid w:val="00AD7CA7"/>
    <w:rsid w:val="00AE6B60"/>
    <w:rsid w:val="00AE6C01"/>
    <w:rsid w:val="00AE6ECF"/>
    <w:rsid w:val="00AE72FD"/>
    <w:rsid w:val="00AE769A"/>
    <w:rsid w:val="00AF18CC"/>
    <w:rsid w:val="00AF4FF3"/>
    <w:rsid w:val="00B00CB3"/>
    <w:rsid w:val="00B014EA"/>
    <w:rsid w:val="00B0450C"/>
    <w:rsid w:val="00B04950"/>
    <w:rsid w:val="00B04954"/>
    <w:rsid w:val="00B1451D"/>
    <w:rsid w:val="00B22BB3"/>
    <w:rsid w:val="00B2673E"/>
    <w:rsid w:val="00B27715"/>
    <w:rsid w:val="00B32CC1"/>
    <w:rsid w:val="00B3505F"/>
    <w:rsid w:val="00B41B0F"/>
    <w:rsid w:val="00B43BEC"/>
    <w:rsid w:val="00B44A06"/>
    <w:rsid w:val="00B47D85"/>
    <w:rsid w:val="00B54710"/>
    <w:rsid w:val="00B5491B"/>
    <w:rsid w:val="00B550FD"/>
    <w:rsid w:val="00B55A96"/>
    <w:rsid w:val="00B56D48"/>
    <w:rsid w:val="00B6147F"/>
    <w:rsid w:val="00B620E4"/>
    <w:rsid w:val="00B64D20"/>
    <w:rsid w:val="00B711FB"/>
    <w:rsid w:val="00B749B6"/>
    <w:rsid w:val="00B75C0A"/>
    <w:rsid w:val="00B75C40"/>
    <w:rsid w:val="00B848D6"/>
    <w:rsid w:val="00B85806"/>
    <w:rsid w:val="00B86A61"/>
    <w:rsid w:val="00B949AA"/>
    <w:rsid w:val="00BA0720"/>
    <w:rsid w:val="00BA48B2"/>
    <w:rsid w:val="00BA55C5"/>
    <w:rsid w:val="00BB1322"/>
    <w:rsid w:val="00BB1C8A"/>
    <w:rsid w:val="00BB2A2C"/>
    <w:rsid w:val="00BB76F4"/>
    <w:rsid w:val="00BB7CAC"/>
    <w:rsid w:val="00BD12AA"/>
    <w:rsid w:val="00BD12AD"/>
    <w:rsid w:val="00BD4226"/>
    <w:rsid w:val="00BE0ED9"/>
    <w:rsid w:val="00BE2C1C"/>
    <w:rsid w:val="00BE2F4F"/>
    <w:rsid w:val="00BE345E"/>
    <w:rsid w:val="00BE53DD"/>
    <w:rsid w:val="00BF0215"/>
    <w:rsid w:val="00BF03F5"/>
    <w:rsid w:val="00BF3724"/>
    <w:rsid w:val="00BF5719"/>
    <w:rsid w:val="00BF5E2C"/>
    <w:rsid w:val="00C01CC2"/>
    <w:rsid w:val="00C02060"/>
    <w:rsid w:val="00C0214B"/>
    <w:rsid w:val="00C03671"/>
    <w:rsid w:val="00C04F18"/>
    <w:rsid w:val="00C137A8"/>
    <w:rsid w:val="00C14710"/>
    <w:rsid w:val="00C229D4"/>
    <w:rsid w:val="00C24F43"/>
    <w:rsid w:val="00C27F2D"/>
    <w:rsid w:val="00C3175B"/>
    <w:rsid w:val="00C31DD3"/>
    <w:rsid w:val="00C3360C"/>
    <w:rsid w:val="00C35629"/>
    <w:rsid w:val="00C428E9"/>
    <w:rsid w:val="00C45DE9"/>
    <w:rsid w:val="00C479DE"/>
    <w:rsid w:val="00C5355A"/>
    <w:rsid w:val="00C550C7"/>
    <w:rsid w:val="00C555AE"/>
    <w:rsid w:val="00C57AD4"/>
    <w:rsid w:val="00C6220D"/>
    <w:rsid w:val="00C62BC3"/>
    <w:rsid w:val="00C7336F"/>
    <w:rsid w:val="00C74616"/>
    <w:rsid w:val="00C7473E"/>
    <w:rsid w:val="00C7488B"/>
    <w:rsid w:val="00C776AE"/>
    <w:rsid w:val="00C9471D"/>
    <w:rsid w:val="00C950EA"/>
    <w:rsid w:val="00CA063B"/>
    <w:rsid w:val="00CA108B"/>
    <w:rsid w:val="00CA21C0"/>
    <w:rsid w:val="00CA3BFD"/>
    <w:rsid w:val="00CA4E06"/>
    <w:rsid w:val="00CA592C"/>
    <w:rsid w:val="00CA7513"/>
    <w:rsid w:val="00CA7742"/>
    <w:rsid w:val="00CB6540"/>
    <w:rsid w:val="00CB75AA"/>
    <w:rsid w:val="00CB7A0C"/>
    <w:rsid w:val="00CC07B9"/>
    <w:rsid w:val="00CC0947"/>
    <w:rsid w:val="00CC0EB9"/>
    <w:rsid w:val="00CC26A5"/>
    <w:rsid w:val="00CC4337"/>
    <w:rsid w:val="00CC4870"/>
    <w:rsid w:val="00CC49CD"/>
    <w:rsid w:val="00CC4C93"/>
    <w:rsid w:val="00CD5B78"/>
    <w:rsid w:val="00CE0899"/>
    <w:rsid w:val="00CE4C25"/>
    <w:rsid w:val="00CE5B53"/>
    <w:rsid w:val="00CE7C00"/>
    <w:rsid w:val="00CF06A3"/>
    <w:rsid w:val="00CF109F"/>
    <w:rsid w:val="00CF3E95"/>
    <w:rsid w:val="00CF4716"/>
    <w:rsid w:val="00CF4E15"/>
    <w:rsid w:val="00CF5623"/>
    <w:rsid w:val="00D000C0"/>
    <w:rsid w:val="00D01CA7"/>
    <w:rsid w:val="00D0292E"/>
    <w:rsid w:val="00D03AFF"/>
    <w:rsid w:val="00D04A6D"/>
    <w:rsid w:val="00D109B4"/>
    <w:rsid w:val="00D120F5"/>
    <w:rsid w:val="00D122EA"/>
    <w:rsid w:val="00D125C6"/>
    <w:rsid w:val="00D14212"/>
    <w:rsid w:val="00D1581D"/>
    <w:rsid w:val="00D1643B"/>
    <w:rsid w:val="00D17D36"/>
    <w:rsid w:val="00D17F0C"/>
    <w:rsid w:val="00D25878"/>
    <w:rsid w:val="00D262E4"/>
    <w:rsid w:val="00D26AA8"/>
    <w:rsid w:val="00D33C43"/>
    <w:rsid w:val="00D473D1"/>
    <w:rsid w:val="00D5178C"/>
    <w:rsid w:val="00D52F65"/>
    <w:rsid w:val="00D53FF9"/>
    <w:rsid w:val="00D56586"/>
    <w:rsid w:val="00D60C04"/>
    <w:rsid w:val="00D6243E"/>
    <w:rsid w:val="00D6383C"/>
    <w:rsid w:val="00D65CCE"/>
    <w:rsid w:val="00D674F5"/>
    <w:rsid w:val="00D7035E"/>
    <w:rsid w:val="00D72227"/>
    <w:rsid w:val="00D72555"/>
    <w:rsid w:val="00D72962"/>
    <w:rsid w:val="00D7297A"/>
    <w:rsid w:val="00D8313F"/>
    <w:rsid w:val="00D91365"/>
    <w:rsid w:val="00D92D2A"/>
    <w:rsid w:val="00DA1A30"/>
    <w:rsid w:val="00DA57C6"/>
    <w:rsid w:val="00DA5C0B"/>
    <w:rsid w:val="00DB54B0"/>
    <w:rsid w:val="00DB6CF8"/>
    <w:rsid w:val="00DB70D9"/>
    <w:rsid w:val="00DC4775"/>
    <w:rsid w:val="00DC501C"/>
    <w:rsid w:val="00DD04A1"/>
    <w:rsid w:val="00DD3811"/>
    <w:rsid w:val="00DD4078"/>
    <w:rsid w:val="00DE292C"/>
    <w:rsid w:val="00DE545E"/>
    <w:rsid w:val="00DF0CFA"/>
    <w:rsid w:val="00DF6E8C"/>
    <w:rsid w:val="00E020FE"/>
    <w:rsid w:val="00E03A50"/>
    <w:rsid w:val="00E03E6C"/>
    <w:rsid w:val="00E1465B"/>
    <w:rsid w:val="00E15F11"/>
    <w:rsid w:val="00E1619F"/>
    <w:rsid w:val="00E202C4"/>
    <w:rsid w:val="00E24F92"/>
    <w:rsid w:val="00E2789E"/>
    <w:rsid w:val="00E31CE3"/>
    <w:rsid w:val="00E33A27"/>
    <w:rsid w:val="00E346D0"/>
    <w:rsid w:val="00E35743"/>
    <w:rsid w:val="00E358D6"/>
    <w:rsid w:val="00E37250"/>
    <w:rsid w:val="00E37D4D"/>
    <w:rsid w:val="00E4199C"/>
    <w:rsid w:val="00E440AE"/>
    <w:rsid w:val="00E4498F"/>
    <w:rsid w:val="00E45B67"/>
    <w:rsid w:val="00E53A72"/>
    <w:rsid w:val="00E564E2"/>
    <w:rsid w:val="00E60397"/>
    <w:rsid w:val="00E6485C"/>
    <w:rsid w:val="00E66776"/>
    <w:rsid w:val="00E7112E"/>
    <w:rsid w:val="00E7249A"/>
    <w:rsid w:val="00E81899"/>
    <w:rsid w:val="00E86AA6"/>
    <w:rsid w:val="00E91465"/>
    <w:rsid w:val="00E92536"/>
    <w:rsid w:val="00E94FE0"/>
    <w:rsid w:val="00E96E2F"/>
    <w:rsid w:val="00EA01AC"/>
    <w:rsid w:val="00EA3133"/>
    <w:rsid w:val="00EA338C"/>
    <w:rsid w:val="00EA4228"/>
    <w:rsid w:val="00EB0531"/>
    <w:rsid w:val="00EB0992"/>
    <w:rsid w:val="00EB1555"/>
    <w:rsid w:val="00EB155F"/>
    <w:rsid w:val="00EB2197"/>
    <w:rsid w:val="00EB3C02"/>
    <w:rsid w:val="00EC03A2"/>
    <w:rsid w:val="00EC0DC4"/>
    <w:rsid w:val="00EC0DD7"/>
    <w:rsid w:val="00EC2683"/>
    <w:rsid w:val="00EC2B42"/>
    <w:rsid w:val="00EC35B2"/>
    <w:rsid w:val="00EC3C00"/>
    <w:rsid w:val="00EC699C"/>
    <w:rsid w:val="00EC70AC"/>
    <w:rsid w:val="00ED1347"/>
    <w:rsid w:val="00ED16A0"/>
    <w:rsid w:val="00ED3F7A"/>
    <w:rsid w:val="00ED4718"/>
    <w:rsid w:val="00ED5CE0"/>
    <w:rsid w:val="00EE1A00"/>
    <w:rsid w:val="00EE2AB0"/>
    <w:rsid w:val="00EE4194"/>
    <w:rsid w:val="00EE491A"/>
    <w:rsid w:val="00EE6656"/>
    <w:rsid w:val="00EE721C"/>
    <w:rsid w:val="00EF0FD7"/>
    <w:rsid w:val="00EF3AE2"/>
    <w:rsid w:val="00EF3DC3"/>
    <w:rsid w:val="00EF75C4"/>
    <w:rsid w:val="00F0194F"/>
    <w:rsid w:val="00F02E00"/>
    <w:rsid w:val="00F06EE4"/>
    <w:rsid w:val="00F1031D"/>
    <w:rsid w:val="00F21E8A"/>
    <w:rsid w:val="00F23015"/>
    <w:rsid w:val="00F23718"/>
    <w:rsid w:val="00F25E7E"/>
    <w:rsid w:val="00F34C5D"/>
    <w:rsid w:val="00F34DCC"/>
    <w:rsid w:val="00F3515B"/>
    <w:rsid w:val="00F35FD4"/>
    <w:rsid w:val="00F4120F"/>
    <w:rsid w:val="00F42806"/>
    <w:rsid w:val="00F453F4"/>
    <w:rsid w:val="00F56634"/>
    <w:rsid w:val="00F63811"/>
    <w:rsid w:val="00F63ECD"/>
    <w:rsid w:val="00F6704E"/>
    <w:rsid w:val="00F70DB0"/>
    <w:rsid w:val="00F801FE"/>
    <w:rsid w:val="00F8385E"/>
    <w:rsid w:val="00F8759C"/>
    <w:rsid w:val="00F87C95"/>
    <w:rsid w:val="00F90CE0"/>
    <w:rsid w:val="00F91006"/>
    <w:rsid w:val="00F95F95"/>
    <w:rsid w:val="00FB5E00"/>
    <w:rsid w:val="00FB6920"/>
    <w:rsid w:val="00FC0C40"/>
    <w:rsid w:val="00FC35C1"/>
    <w:rsid w:val="00FC383E"/>
    <w:rsid w:val="00FC482D"/>
    <w:rsid w:val="00FC6D12"/>
    <w:rsid w:val="00FD0828"/>
    <w:rsid w:val="00FD1336"/>
    <w:rsid w:val="00FD5951"/>
    <w:rsid w:val="00FE13F2"/>
    <w:rsid w:val="00FE421E"/>
    <w:rsid w:val="00FE65B5"/>
    <w:rsid w:val="00FE6867"/>
    <w:rsid w:val="00FE7BA3"/>
    <w:rsid w:val="00FF0A2D"/>
    <w:rsid w:val="00FF2B41"/>
    <w:rsid w:val="00FF45CB"/>
    <w:rsid w:val="00FF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w:color w:val="2D2D2D"/>
        <w:kern w:val="3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FFE"/>
    <w:pPr>
      <w:spacing w:after="160" w:line="259" w:lineRule="auto"/>
    </w:pPr>
    <w:rPr>
      <w:rFonts w:eastAsiaTheme="minorHAnsi" w:cstheme="minorBidi"/>
      <w:color w:val="auto"/>
      <w:kern w:val="0"/>
      <w:sz w:val="32"/>
      <w:szCs w:val="32"/>
    </w:rPr>
  </w:style>
  <w:style w:type="paragraph" w:styleId="1">
    <w:name w:val="heading 1"/>
    <w:basedOn w:val="a"/>
    <w:next w:val="a"/>
    <w:link w:val="10"/>
    <w:qFormat/>
    <w:rsid w:val="00745370"/>
    <w:pPr>
      <w:keepNext/>
      <w:spacing w:before="240" w:after="60"/>
      <w:jc w:val="center"/>
      <w:outlineLvl w:val="0"/>
    </w:pPr>
    <w:rPr>
      <w:b/>
      <w:kern w:val="1"/>
      <w:sz w:val="36"/>
      <w:szCs w:val="20"/>
    </w:rPr>
  </w:style>
  <w:style w:type="paragraph" w:styleId="2">
    <w:name w:val="heading 2"/>
    <w:basedOn w:val="a"/>
    <w:next w:val="a"/>
    <w:link w:val="20"/>
    <w:qFormat/>
    <w:rsid w:val="00745370"/>
    <w:pPr>
      <w:keepNext/>
      <w:numPr>
        <w:ilvl w:val="1"/>
        <w:numId w:val="6"/>
      </w:numPr>
      <w:spacing w:after="60"/>
      <w:jc w:val="center"/>
      <w:outlineLvl w:val="1"/>
    </w:pPr>
    <w:rPr>
      <w:b/>
      <w:sz w:val="30"/>
      <w:szCs w:val="20"/>
    </w:rPr>
  </w:style>
  <w:style w:type="paragraph" w:styleId="3">
    <w:name w:val="heading 3"/>
    <w:basedOn w:val="a"/>
    <w:next w:val="a"/>
    <w:link w:val="30"/>
    <w:qFormat/>
    <w:rsid w:val="00745370"/>
    <w:pPr>
      <w:keepNext/>
      <w:spacing w:before="240" w:after="60"/>
      <w:jc w:val="both"/>
      <w:outlineLvl w:val="2"/>
    </w:pPr>
    <w:rPr>
      <w:rFonts w:ascii="Arial" w:hAnsi="Arial" w:cs="Arial"/>
      <w:b/>
      <w:szCs w:val="20"/>
    </w:rPr>
  </w:style>
  <w:style w:type="paragraph" w:styleId="4">
    <w:name w:val="heading 4"/>
    <w:basedOn w:val="a"/>
    <w:next w:val="a"/>
    <w:link w:val="40"/>
    <w:qFormat/>
    <w:rsid w:val="00745370"/>
    <w:pPr>
      <w:keepNext/>
      <w:numPr>
        <w:ilvl w:val="3"/>
        <w:numId w:val="6"/>
      </w:numPr>
      <w:spacing w:before="240" w:after="60"/>
      <w:jc w:val="both"/>
      <w:outlineLvl w:val="3"/>
    </w:pPr>
    <w:rPr>
      <w:rFonts w:ascii="Arial" w:hAnsi="Arial" w:cs="Arial"/>
      <w:szCs w:val="20"/>
    </w:rPr>
  </w:style>
  <w:style w:type="paragraph" w:styleId="5">
    <w:name w:val="heading 5"/>
    <w:basedOn w:val="a"/>
    <w:next w:val="a"/>
    <w:link w:val="50"/>
    <w:qFormat/>
    <w:rsid w:val="00745370"/>
    <w:pPr>
      <w:spacing w:before="240" w:after="60"/>
      <w:jc w:val="both"/>
      <w:outlineLvl w:val="4"/>
    </w:pPr>
    <w:rPr>
      <w:b/>
      <w:bCs/>
      <w:i/>
      <w:iCs/>
      <w:sz w:val="26"/>
      <w:szCs w:val="26"/>
    </w:rPr>
  </w:style>
  <w:style w:type="paragraph" w:styleId="6">
    <w:name w:val="heading 6"/>
    <w:basedOn w:val="a"/>
    <w:next w:val="a"/>
    <w:link w:val="60"/>
    <w:qFormat/>
    <w:rsid w:val="00745370"/>
    <w:pPr>
      <w:numPr>
        <w:ilvl w:val="5"/>
        <w:numId w:val="6"/>
      </w:numPr>
      <w:spacing w:before="240" w:after="60"/>
      <w:jc w:val="both"/>
      <w:outlineLvl w:val="5"/>
    </w:pPr>
    <w:rPr>
      <w:i/>
      <w:sz w:val="22"/>
      <w:szCs w:val="20"/>
    </w:rPr>
  </w:style>
  <w:style w:type="paragraph" w:styleId="7">
    <w:name w:val="heading 7"/>
    <w:basedOn w:val="a"/>
    <w:next w:val="a"/>
    <w:link w:val="70"/>
    <w:qFormat/>
    <w:rsid w:val="00745370"/>
    <w:pPr>
      <w:numPr>
        <w:ilvl w:val="6"/>
        <w:numId w:val="6"/>
      </w:numPr>
      <w:spacing w:before="240" w:after="60"/>
      <w:jc w:val="both"/>
      <w:outlineLvl w:val="6"/>
    </w:pPr>
    <w:rPr>
      <w:rFonts w:ascii="Arial" w:hAnsi="Arial" w:cs="Arial"/>
      <w:sz w:val="20"/>
      <w:szCs w:val="20"/>
    </w:rPr>
  </w:style>
  <w:style w:type="paragraph" w:styleId="8">
    <w:name w:val="heading 8"/>
    <w:basedOn w:val="a"/>
    <w:next w:val="a"/>
    <w:link w:val="80"/>
    <w:qFormat/>
    <w:rsid w:val="00745370"/>
    <w:pPr>
      <w:numPr>
        <w:ilvl w:val="7"/>
        <w:numId w:val="6"/>
      </w:numPr>
      <w:spacing w:before="240" w:after="60"/>
      <w:jc w:val="both"/>
      <w:outlineLvl w:val="7"/>
    </w:pPr>
    <w:rPr>
      <w:rFonts w:ascii="Arial" w:hAnsi="Arial" w:cs="Arial"/>
      <w:i/>
      <w:sz w:val="20"/>
      <w:szCs w:val="20"/>
    </w:rPr>
  </w:style>
  <w:style w:type="paragraph" w:styleId="9">
    <w:name w:val="heading 9"/>
    <w:basedOn w:val="a"/>
    <w:next w:val="a"/>
    <w:link w:val="90"/>
    <w:qFormat/>
    <w:rsid w:val="00745370"/>
    <w:pPr>
      <w:numPr>
        <w:ilvl w:val="8"/>
        <w:numId w:val="6"/>
      </w:numPr>
      <w:spacing w:before="240" w:after="60"/>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5370"/>
    <w:rPr>
      <w:b/>
      <w:kern w:val="1"/>
      <w:sz w:val="36"/>
      <w:lang w:eastAsia="zh-CN"/>
    </w:rPr>
  </w:style>
  <w:style w:type="character" w:customStyle="1" w:styleId="20">
    <w:name w:val="Заголовок 2 Знак"/>
    <w:basedOn w:val="a0"/>
    <w:link w:val="2"/>
    <w:rsid w:val="00745370"/>
    <w:rPr>
      <w:b/>
      <w:sz w:val="30"/>
      <w:lang w:eastAsia="zh-CN"/>
    </w:rPr>
  </w:style>
  <w:style w:type="character" w:customStyle="1" w:styleId="30">
    <w:name w:val="Заголовок 3 Знак"/>
    <w:basedOn w:val="a0"/>
    <w:link w:val="3"/>
    <w:rsid w:val="00745370"/>
    <w:rPr>
      <w:rFonts w:ascii="Arial" w:hAnsi="Arial" w:cs="Arial"/>
      <w:b/>
      <w:sz w:val="24"/>
      <w:lang w:eastAsia="zh-CN"/>
    </w:rPr>
  </w:style>
  <w:style w:type="character" w:customStyle="1" w:styleId="40">
    <w:name w:val="Заголовок 4 Знак"/>
    <w:basedOn w:val="a0"/>
    <w:link w:val="4"/>
    <w:rsid w:val="00745370"/>
    <w:rPr>
      <w:rFonts w:ascii="Arial" w:hAnsi="Arial" w:cs="Arial"/>
      <w:sz w:val="24"/>
      <w:lang w:eastAsia="zh-CN"/>
    </w:rPr>
  </w:style>
  <w:style w:type="character" w:customStyle="1" w:styleId="50">
    <w:name w:val="Заголовок 5 Знак"/>
    <w:basedOn w:val="a0"/>
    <w:link w:val="5"/>
    <w:rsid w:val="00745370"/>
    <w:rPr>
      <w:b/>
      <w:bCs/>
      <w:i/>
      <w:iCs/>
      <w:sz w:val="26"/>
      <w:szCs w:val="26"/>
      <w:lang w:eastAsia="zh-CN"/>
    </w:rPr>
  </w:style>
  <w:style w:type="character" w:customStyle="1" w:styleId="60">
    <w:name w:val="Заголовок 6 Знак"/>
    <w:basedOn w:val="a0"/>
    <w:link w:val="6"/>
    <w:rsid w:val="00745370"/>
    <w:rPr>
      <w:i/>
      <w:sz w:val="22"/>
      <w:lang w:eastAsia="zh-CN"/>
    </w:rPr>
  </w:style>
  <w:style w:type="character" w:customStyle="1" w:styleId="70">
    <w:name w:val="Заголовок 7 Знак"/>
    <w:basedOn w:val="a0"/>
    <w:link w:val="7"/>
    <w:rsid w:val="00745370"/>
    <w:rPr>
      <w:rFonts w:ascii="Arial" w:hAnsi="Arial" w:cs="Arial"/>
      <w:lang w:eastAsia="zh-CN"/>
    </w:rPr>
  </w:style>
  <w:style w:type="character" w:customStyle="1" w:styleId="80">
    <w:name w:val="Заголовок 8 Знак"/>
    <w:basedOn w:val="a0"/>
    <w:link w:val="8"/>
    <w:rsid w:val="00745370"/>
    <w:rPr>
      <w:rFonts w:ascii="Arial" w:hAnsi="Arial" w:cs="Arial"/>
      <w:i/>
      <w:lang w:eastAsia="zh-CN"/>
    </w:rPr>
  </w:style>
  <w:style w:type="character" w:customStyle="1" w:styleId="90">
    <w:name w:val="Заголовок 9 Знак"/>
    <w:basedOn w:val="a0"/>
    <w:link w:val="9"/>
    <w:rsid w:val="00745370"/>
    <w:rPr>
      <w:rFonts w:ascii="Arial" w:hAnsi="Arial" w:cs="Arial"/>
      <w:b/>
      <w:i/>
      <w:sz w:val="18"/>
      <w:lang w:eastAsia="zh-CN"/>
    </w:rPr>
  </w:style>
  <w:style w:type="paragraph" w:styleId="a3">
    <w:name w:val="caption"/>
    <w:basedOn w:val="a"/>
    <w:qFormat/>
    <w:rsid w:val="00745370"/>
    <w:pPr>
      <w:suppressLineNumbers/>
      <w:spacing w:before="120" w:after="120"/>
    </w:pPr>
    <w:rPr>
      <w:rFonts w:cs="Lohit Hindi"/>
      <w:i/>
      <w:iCs/>
    </w:rPr>
  </w:style>
  <w:style w:type="paragraph" w:styleId="a4">
    <w:name w:val="Title"/>
    <w:basedOn w:val="a"/>
    <w:link w:val="11"/>
    <w:qFormat/>
    <w:rsid w:val="00745370"/>
    <w:pPr>
      <w:jc w:val="center"/>
    </w:pPr>
    <w:rPr>
      <w:b/>
      <w:bCs/>
    </w:rPr>
  </w:style>
  <w:style w:type="character" w:customStyle="1" w:styleId="a5">
    <w:name w:val="Название Знак"/>
    <w:basedOn w:val="a0"/>
    <w:uiPriority w:val="10"/>
    <w:rsid w:val="00745370"/>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11">
    <w:name w:val="Название Знак1"/>
    <w:link w:val="a4"/>
    <w:locked/>
    <w:rsid w:val="00745370"/>
    <w:rPr>
      <w:b/>
      <w:bCs/>
      <w:sz w:val="24"/>
      <w:szCs w:val="24"/>
    </w:rPr>
  </w:style>
  <w:style w:type="paragraph" w:styleId="a6">
    <w:name w:val="Subtitle"/>
    <w:basedOn w:val="a"/>
    <w:next w:val="a7"/>
    <w:link w:val="a8"/>
    <w:qFormat/>
    <w:rsid w:val="00745370"/>
    <w:pPr>
      <w:spacing w:after="60"/>
      <w:jc w:val="center"/>
    </w:pPr>
    <w:rPr>
      <w:rFonts w:ascii="Arial" w:hAnsi="Arial" w:cs="Arial"/>
      <w:szCs w:val="20"/>
    </w:rPr>
  </w:style>
  <w:style w:type="character" w:customStyle="1" w:styleId="a8">
    <w:name w:val="Подзаголовок Знак"/>
    <w:basedOn w:val="a0"/>
    <w:link w:val="a6"/>
    <w:rsid w:val="00745370"/>
    <w:rPr>
      <w:rFonts w:ascii="Arial" w:hAnsi="Arial" w:cs="Arial"/>
      <w:sz w:val="24"/>
      <w:lang w:eastAsia="zh-CN"/>
    </w:rPr>
  </w:style>
  <w:style w:type="paragraph" w:styleId="a7">
    <w:name w:val="Body Text"/>
    <w:basedOn w:val="a"/>
    <w:link w:val="a9"/>
    <w:uiPriority w:val="99"/>
    <w:semiHidden/>
    <w:unhideWhenUsed/>
    <w:rsid w:val="00745370"/>
    <w:pPr>
      <w:spacing w:after="120"/>
    </w:pPr>
  </w:style>
  <w:style w:type="character" w:customStyle="1" w:styleId="a9">
    <w:name w:val="Основной текст Знак"/>
    <w:basedOn w:val="a0"/>
    <w:link w:val="a7"/>
    <w:uiPriority w:val="99"/>
    <w:semiHidden/>
    <w:rsid w:val="00745370"/>
    <w:rPr>
      <w:sz w:val="24"/>
      <w:szCs w:val="24"/>
      <w:lang w:eastAsia="zh-CN"/>
    </w:rPr>
  </w:style>
  <w:style w:type="character" w:styleId="aa">
    <w:name w:val="Emphasis"/>
    <w:qFormat/>
    <w:rsid w:val="00745370"/>
    <w:rPr>
      <w:rFonts w:cs="Times New Roman"/>
      <w:i/>
      <w:iCs/>
    </w:rPr>
  </w:style>
  <w:style w:type="paragraph" w:styleId="ab">
    <w:name w:val="List Paragraph"/>
    <w:basedOn w:val="a"/>
    <w:uiPriority w:val="34"/>
    <w:qFormat/>
    <w:rsid w:val="00745370"/>
    <w:pPr>
      <w:ind w:left="720"/>
      <w:contextualSpacing/>
    </w:pPr>
    <w:rPr>
      <w:lang w:eastAsia="ru-RU"/>
    </w:rPr>
  </w:style>
  <w:style w:type="table" w:styleId="ac">
    <w:name w:val="Table Grid"/>
    <w:basedOn w:val="a1"/>
    <w:uiPriority w:val="39"/>
    <w:rsid w:val="000C66B9"/>
    <w:rPr>
      <w:rFonts w:eastAsia="Calibri" w:cs="Times New Roman"/>
      <w:color w:val="auto"/>
      <w:kern w:val="0"/>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A108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108B"/>
    <w:rPr>
      <w:rFonts w:ascii="Tahoma" w:eastAsiaTheme="minorHAnsi" w:hAnsi="Tahoma" w:cs="Tahoma"/>
      <w:color w:val="auto"/>
      <w:kern w:val="0"/>
      <w:sz w:val="16"/>
      <w:szCs w:val="16"/>
    </w:rPr>
  </w:style>
  <w:style w:type="paragraph" w:styleId="af">
    <w:name w:val="header"/>
    <w:basedOn w:val="a"/>
    <w:link w:val="af0"/>
    <w:uiPriority w:val="99"/>
    <w:unhideWhenUsed/>
    <w:rsid w:val="00CA774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A7742"/>
    <w:rPr>
      <w:rFonts w:eastAsiaTheme="minorHAnsi" w:cstheme="minorBidi"/>
      <w:color w:val="auto"/>
      <w:kern w:val="0"/>
      <w:sz w:val="32"/>
      <w:szCs w:val="32"/>
    </w:rPr>
  </w:style>
  <w:style w:type="paragraph" w:styleId="af1">
    <w:name w:val="footer"/>
    <w:basedOn w:val="a"/>
    <w:link w:val="af2"/>
    <w:uiPriority w:val="99"/>
    <w:unhideWhenUsed/>
    <w:rsid w:val="00CA774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A7742"/>
    <w:rPr>
      <w:rFonts w:eastAsiaTheme="minorHAnsi" w:cstheme="minorBidi"/>
      <w:color w:val="auto"/>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w:color w:val="2D2D2D"/>
        <w:kern w:val="3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FFE"/>
    <w:pPr>
      <w:spacing w:after="160" w:line="259" w:lineRule="auto"/>
    </w:pPr>
    <w:rPr>
      <w:rFonts w:eastAsiaTheme="minorHAnsi" w:cstheme="minorBidi"/>
      <w:color w:val="auto"/>
      <w:kern w:val="0"/>
      <w:sz w:val="32"/>
      <w:szCs w:val="32"/>
    </w:rPr>
  </w:style>
  <w:style w:type="paragraph" w:styleId="1">
    <w:name w:val="heading 1"/>
    <w:basedOn w:val="a"/>
    <w:next w:val="a"/>
    <w:link w:val="10"/>
    <w:qFormat/>
    <w:rsid w:val="00745370"/>
    <w:pPr>
      <w:keepNext/>
      <w:spacing w:before="240" w:after="60"/>
      <w:jc w:val="center"/>
      <w:outlineLvl w:val="0"/>
    </w:pPr>
    <w:rPr>
      <w:b/>
      <w:kern w:val="1"/>
      <w:sz w:val="36"/>
      <w:szCs w:val="20"/>
    </w:rPr>
  </w:style>
  <w:style w:type="paragraph" w:styleId="2">
    <w:name w:val="heading 2"/>
    <w:basedOn w:val="a"/>
    <w:next w:val="a"/>
    <w:link w:val="20"/>
    <w:qFormat/>
    <w:rsid w:val="00745370"/>
    <w:pPr>
      <w:keepNext/>
      <w:numPr>
        <w:ilvl w:val="1"/>
        <w:numId w:val="6"/>
      </w:numPr>
      <w:spacing w:after="60"/>
      <w:jc w:val="center"/>
      <w:outlineLvl w:val="1"/>
    </w:pPr>
    <w:rPr>
      <w:b/>
      <w:sz w:val="30"/>
      <w:szCs w:val="20"/>
    </w:rPr>
  </w:style>
  <w:style w:type="paragraph" w:styleId="3">
    <w:name w:val="heading 3"/>
    <w:basedOn w:val="a"/>
    <w:next w:val="a"/>
    <w:link w:val="30"/>
    <w:qFormat/>
    <w:rsid w:val="00745370"/>
    <w:pPr>
      <w:keepNext/>
      <w:spacing w:before="240" w:after="60"/>
      <w:jc w:val="both"/>
      <w:outlineLvl w:val="2"/>
    </w:pPr>
    <w:rPr>
      <w:rFonts w:ascii="Arial" w:hAnsi="Arial" w:cs="Arial"/>
      <w:b/>
      <w:szCs w:val="20"/>
    </w:rPr>
  </w:style>
  <w:style w:type="paragraph" w:styleId="4">
    <w:name w:val="heading 4"/>
    <w:basedOn w:val="a"/>
    <w:next w:val="a"/>
    <w:link w:val="40"/>
    <w:qFormat/>
    <w:rsid w:val="00745370"/>
    <w:pPr>
      <w:keepNext/>
      <w:numPr>
        <w:ilvl w:val="3"/>
        <w:numId w:val="6"/>
      </w:numPr>
      <w:spacing w:before="240" w:after="60"/>
      <w:jc w:val="both"/>
      <w:outlineLvl w:val="3"/>
    </w:pPr>
    <w:rPr>
      <w:rFonts w:ascii="Arial" w:hAnsi="Arial" w:cs="Arial"/>
      <w:szCs w:val="20"/>
    </w:rPr>
  </w:style>
  <w:style w:type="paragraph" w:styleId="5">
    <w:name w:val="heading 5"/>
    <w:basedOn w:val="a"/>
    <w:next w:val="a"/>
    <w:link w:val="50"/>
    <w:qFormat/>
    <w:rsid w:val="00745370"/>
    <w:pPr>
      <w:spacing w:before="240" w:after="60"/>
      <w:jc w:val="both"/>
      <w:outlineLvl w:val="4"/>
    </w:pPr>
    <w:rPr>
      <w:b/>
      <w:bCs/>
      <w:i/>
      <w:iCs/>
      <w:sz w:val="26"/>
      <w:szCs w:val="26"/>
    </w:rPr>
  </w:style>
  <w:style w:type="paragraph" w:styleId="6">
    <w:name w:val="heading 6"/>
    <w:basedOn w:val="a"/>
    <w:next w:val="a"/>
    <w:link w:val="60"/>
    <w:qFormat/>
    <w:rsid w:val="00745370"/>
    <w:pPr>
      <w:numPr>
        <w:ilvl w:val="5"/>
        <w:numId w:val="6"/>
      </w:numPr>
      <w:spacing w:before="240" w:after="60"/>
      <w:jc w:val="both"/>
      <w:outlineLvl w:val="5"/>
    </w:pPr>
    <w:rPr>
      <w:i/>
      <w:sz w:val="22"/>
      <w:szCs w:val="20"/>
    </w:rPr>
  </w:style>
  <w:style w:type="paragraph" w:styleId="7">
    <w:name w:val="heading 7"/>
    <w:basedOn w:val="a"/>
    <w:next w:val="a"/>
    <w:link w:val="70"/>
    <w:qFormat/>
    <w:rsid w:val="00745370"/>
    <w:pPr>
      <w:numPr>
        <w:ilvl w:val="6"/>
        <w:numId w:val="6"/>
      </w:numPr>
      <w:spacing w:before="240" w:after="60"/>
      <w:jc w:val="both"/>
      <w:outlineLvl w:val="6"/>
    </w:pPr>
    <w:rPr>
      <w:rFonts w:ascii="Arial" w:hAnsi="Arial" w:cs="Arial"/>
      <w:sz w:val="20"/>
      <w:szCs w:val="20"/>
    </w:rPr>
  </w:style>
  <w:style w:type="paragraph" w:styleId="8">
    <w:name w:val="heading 8"/>
    <w:basedOn w:val="a"/>
    <w:next w:val="a"/>
    <w:link w:val="80"/>
    <w:qFormat/>
    <w:rsid w:val="00745370"/>
    <w:pPr>
      <w:numPr>
        <w:ilvl w:val="7"/>
        <w:numId w:val="6"/>
      </w:numPr>
      <w:spacing w:before="240" w:after="60"/>
      <w:jc w:val="both"/>
      <w:outlineLvl w:val="7"/>
    </w:pPr>
    <w:rPr>
      <w:rFonts w:ascii="Arial" w:hAnsi="Arial" w:cs="Arial"/>
      <w:i/>
      <w:sz w:val="20"/>
      <w:szCs w:val="20"/>
    </w:rPr>
  </w:style>
  <w:style w:type="paragraph" w:styleId="9">
    <w:name w:val="heading 9"/>
    <w:basedOn w:val="a"/>
    <w:next w:val="a"/>
    <w:link w:val="90"/>
    <w:qFormat/>
    <w:rsid w:val="00745370"/>
    <w:pPr>
      <w:numPr>
        <w:ilvl w:val="8"/>
        <w:numId w:val="6"/>
      </w:numPr>
      <w:spacing w:before="240" w:after="60"/>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5370"/>
    <w:rPr>
      <w:b/>
      <w:kern w:val="1"/>
      <w:sz w:val="36"/>
      <w:lang w:eastAsia="zh-CN"/>
    </w:rPr>
  </w:style>
  <w:style w:type="character" w:customStyle="1" w:styleId="20">
    <w:name w:val="Заголовок 2 Знак"/>
    <w:basedOn w:val="a0"/>
    <w:link w:val="2"/>
    <w:rsid w:val="00745370"/>
    <w:rPr>
      <w:b/>
      <w:sz w:val="30"/>
      <w:lang w:eastAsia="zh-CN"/>
    </w:rPr>
  </w:style>
  <w:style w:type="character" w:customStyle="1" w:styleId="30">
    <w:name w:val="Заголовок 3 Знак"/>
    <w:basedOn w:val="a0"/>
    <w:link w:val="3"/>
    <w:rsid w:val="00745370"/>
    <w:rPr>
      <w:rFonts w:ascii="Arial" w:hAnsi="Arial" w:cs="Arial"/>
      <w:b/>
      <w:sz w:val="24"/>
      <w:lang w:eastAsia="zh-CN"/>
    </w:rPr>
  </w:style>
  <w:style w:type="character" w:customStyle="1" w:styleId="40">
    <w:name w:val="Заголовок 4 Знак"/>
    <w:basedOn w:val="a0"/>
    <w:link w:val="4"/>
    <w:rsid w:val="00745370"/>
    <w:rPr>
      <w:rFonts w:ascii="Arial" w:hAnsi="Arial" w:cs="Arial"/>
      <w:sz w:val="24"/>
      <w:lang w:eastAsia="zh-CN"/>
    </w:rPr>
  </w:style>
  <w:style w:type="character" w:customStyle="1" w:styleId="50">
    <w:name w:val="Заголовок 5 Знак"/>
    <w:basedOn w:val="a0"/>
    <w:link w:val="5"/>
    <w:rsid w:val="00745370"/>
    <w:rPr>
      <w:b/>
      <w:bCs/>
      <w:i/>
      <w:iCs/>
      <w:sz w:val="26"/>
      <w:szCs w:val="26"/>
      <w:lang w:eastAsia="zh-CN"/>
    </w:rPr>
  </w:style>
  <w:style w:type="character" w:customStyle="1" w:styleId="60">
    <w:name w:val="Заголовок 6 Знак"/>
    <w:basedOn w:val="a0"/>
    <w:link w:val="6"/>
    <w:rsid w:val="00745370"/>
    <w:rPr>
      <w:i/>
      <w:sz w:val="22"/>
      <w:lang w:eastAsia="zh-CN"/>
    </w:rPr>
  </w:style>
  <w:style w:type="character" w:customStyle="1" w:styleId="70">
    <w:name w:val="Заголовок 7 Знак"/>
    <w:basedOn w:val="a0"/>
    <w:link w:val="7"/>
    <w:rsid w:val="00745370"/>
    <w:rPr>
      <w:rFonts w:ascii="Arial" w:hAnsi="Arial" w:cs="Arial"/>
      <w:lang w:eastAsia="zh-CN"/>
    </w:rPr>
  </w:style>
  <w:style w:type="character" w:customStyle="1" w:styleId="80">
    <w:name w:val="Заголовок 8 Знак"/>
    <w:basedOn w:val="a0"/>
    <w:link w:val="8"/>
    <w:rsid w:val="00745370"/>
    <w:rPr>
      <w:rFonts w:ascii="Arial" w:hAnsi="Arial" w:cs="Arial"/>
      <w:i/>
      <w:lang w:eastAsia="zh-CN"/>
    </w:rPr>
  </w:style>
  <w:style w:type="character" w:customStyle="1" w:styleId="90">
    <w:name w:val="Заголовок 9 Знак"/>
    <w:basedOn w:val="a0"/>
    <w:link w:val="9"/>
    <w:rsid w:val="00745370"/>
    <w:rPr>
      <w:rFonts w:ascii="Arial" w:hAnsi="Arial" w:cs="Arial"/>
      <w:b/>
      <w:i/>
      <w:sz w:val="18"/>
      <w:lang w:eastAsia="zh-CN"/>
    </w:rPr>
  </w:style>
  <w:style w:type="paragraph" w:styleId="a3">
    <w:name w:val="caption"/>
    <w:basedOn w:val="a"/>
    <w:qFormat/>
    <w:rsid w:val="00745370"/>
    <w:pPr>
      <w:suppressLineNumbers/>
      <w:spacing w:before="120" w:after="120"/>
    </w:pPr>
    <w:rPr>
      <w:rFonts w:cs="Lohit Hindi"/>
      <w:i/>
      <w:iCs/>
    </w:rPr>
  </w:style>
  <w:style w:type="paragraph" w:styleId="a4">
    <w:name w:val="Title"/>
    <w:basedOn w:val="a"/>
    <w:link w:val="11"/>
    <w:qFormat/>
    <w:rsid w:val="00745370"/>
    <w:pPr>
      <w:jc w:val="center"/>
    </w:pPr>
    <w:rPr>
      <w:b/>
      <w:bCs/>
    </w:rPr>
  </w:style>
  <w:style w:type="character" w:customStyle="1" w:styleId="a5">
    <w:name w:val="Название Знак"/>
    <w:basedOn w:val="a0"/>
    <w:uiPriority w:val="10"/>
    <w:rsid w:val="00745370"/>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11">
    <w:name w:val="Название Знак1"/>
    <w:link w:val="a4"/>
    <w:locked/>
    <w:rsid w:val="00745370"/>
    <w:rPr>
      <w:b/>
      <w:bCs/>
      <w:sz w:val="24"/>
      <w:szCs w:val="24"/>
    </w:rPr>
  </w:style>
  <w:style w:type="paragraph" w:styleId="a6">
    <w:name w:val="Subtitle"/>
    <w:basedOn w:val="a"/>
    <w:next w:val="a7"/>
    <w:link w:val="a8"/>
    <w:qFormat/>
    <w:rsid w:val="00745370"/>
    <w:pPr>
      <w:spacing w:after="60"/>
      <w:jc w:val="center"/>
    </w:pPr>
    <w:rPr>
      <w:rFonts w:ascii="Arial" w:hAnsi="Arial" w:cs="Arial"/>
      <w:szCs w:val="20"/>
    </w:rPr>
  </w:style>
  <w:style w:type="character" w:customStyle="1" w:styleId="a8">
    <w:name w:val="Подзаголовок Знак"/>
    <w:basedOn w:val="a0"/>
    <w:link w:val="a6"/>
    <w:rsid w:val="00745370"/>
    <w:rPr>
      <w:rFonts w:ascii="Arial" w:hAnsi="Arial" w:cs="Arial"/>
      <w:sz w:val="24"/>
      <w:lang w:eastAsia="zh-CN"/>
    </w:rPr>
  </w:style>
  <w:style w:type="paragraph" w:styleId="a7">
    <w:name w:val="Body Text"/>
    <w:basedOn w:val="a"/>
    <w:link w:val="a9"/>
    <w:uiPriority w:val="99"/>
    <w:semiHidden/>
    <w:unhideWhenUsed/>
    <w:rsid w:val="00745370"/>
    <w:pPr>
      <w:spacing w:after="120"/>
    </w:pPr>
  </w:style>
  <w:style w:type="character" w:customStyle="1" w:styleId="a9">
    <w:name w:val="Основной текст Знак"/>
    <w:basedOn w:val="a0"/>
    <w:link w:val="a7"/>
    <w:uiPriority w:val="99"/>
    <w:semiHidden/>
    <w:rsid w:val="00745370"/>
    <w:rPr>
      <w:sz w:val="24"/>
      <w:szCs w:val="24"/>
      <w:lang w:eastAsia="zh-CN"/>
    </w:rPr>
  </w:style>
  <w:style w:type="character" w:styleId="aa">
    <w:name w:val="Emphasis"/>
    <w:qFormat/>
    <w:rsid w:val="00745370"/>
    <w:rPr>
      <w:rFonts w:cs="Times New Roman"/>
      <w:i/>
      <w:iCs/>
    </w:rPr>
  </w:style>
  <w:style w:type="paragraph" w:styleId="ab">
    <w:name w:val="List Paragraph"/>
    <w:basedOn w:val="a"/>
    <w:uiPriority w:val="34"/>
    <w:qFormat/>
    <w:rsid w:val="00745370"/>
    <w:pPr>
      <w:ind w:left="720"/>
      <w:contextualSpacing/>
    </w:pPr>
    <w:rPr>
      <w:lang w:eastAsia="ru-RU"/>
    </w:rPr>
  </w:style>
  <w:style w:type="table" w:styleId="ac">
    <w:name w:val="Table Grid"/>
    <w:basedOn w:val="a1"/>
    <w:uiPriority w:val="39"/>
    <w:rsid w:val="000C66B9"/>
    <w:rPr>
      <w:rFonts w:eastAsia="Calibri" w:cs="Times New Roman"/>
      <w:color w:val="auto"/>
      <w:kern w:val="0"/>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A108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108B"/>
    <w:rPr>
      <w:rFonts w:ascii="Tahoma" w:eastAsiaTheme="minorHAnsi" w:hAnsi="Tahoma" w:cs="Tahoma"/>
      <w:color w:val="auto"/>
      <w:kern w:val="0"/>
      <w:sz w:val="16"/>
      <w:szCs w:val="16"/>
    </w:rPr>
  </w:style>
  <w:style w:type="paragraph" w:styleId="af">
    <w:name w:val="header"/>
    <w:basedOn w:val="a"/>
    <w:link w:val="af0"/>
    <w:uiPriority w:val="99"/>
    <w:unhideWhenUsed/>
    <w:rsid w:val="00CA774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A7742"/>
    <w:rPr>
      <w:rFonts w:eastAsiaTheme="minorHAnsi" w:cstheme="minorBidi"/>
      <w:color w:val="auto"/>
      <w:kern w:val="0"/>
      <w:sz w:val="32"/>
      <w:szCs w:val="32"/>
    </w:rPr>
  </w:style>
  <w:style w:type="paragraph" w:styleId="af1">
    <w:name w:val="footer"/>
    <w:basedOn w:val="a"/>
    <w:link w:val="af2"/>
    <w:uiPriority w:val="99"/>
    <w:unhideWhenUsed/>
    <w:rsid w:val="00CA774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A7742"/>
    <w:rPr>
      <w:rFonts w:eastAsiaTheme="minorHAnsi" w:cstheme="minorBidi"/>
      <w:color w:val="auto"/>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95">
      <w:bodyDiv w:val="1"/>
      <w:marLeft w:val="0"/>
      <w:marRight w:val="0"/>
      <w:marTop w:val="0"/>
      <w:marBottom w:val="0"/>
      <w:divBdr>
        <w:top w:val="none" w:sz="0" w:space="0" w:color="auto"/>
        <w:left w:val="none" w:sz="0" w:space="0" w:color="auto"/>
        <w:bottom w:val="none" w:sz="0" w:space="0" w:color="auto"/>
        <w:right w:val="none" w:sz="0" w:space="0" w:color="auto"/>
      </w:divBdr>
    </w:div>
    <w:div w:id="141892901">
      <w:bodyDiv w:val="1"/>
      <w:marLeft w:val="0"/>
      <w:marRight w:val="0"/>
      <w:marTop w:val="0"/>
      <w:marBottom w:val="0"/>
      <w:divBdr>
        <w:top w:val="none" w:sz="0" w:space="0" w:color="auto"/>
        <w:left w:val="none" w:sz="0" w:space="0" w:color="auto"/>
        <w:bottom w:val="none" w:sz="0" w:space="0" w:color="auto"/>
        <w:right w:val="none" w:sz="0" w:space="0" w:color="auto"/>
      </w:divBdr>
    </w:div>
    <w:div w:id="168638692">
      <w:bodyDiv w:val="1"/>
      <w:marLeft w:val="0"/>
      <w:marRight w:val="0"/>
      <w:marTop w:val="0"/>
      <w:marBottom w:val="0"/>
      <w:divBdr>
        <w:top w:val="none" w:sz="0" w:space="0" w:color="auto"/>
        <w:left w:val="none" w:sz="0" w:space="0" w:color="auto"/>
        <w:bottom w:val="none" w:sz="0" w:space="0" w:color="auto"/>
        <w:right w:val="none" w:sz="0" w:space="0" w:color="auto"/>
      </w:divBdr>
    </w:div>
    <w:div w:id="535696625">
      <w:bodyDiv w:val="1"/>
      <w:marLeft w:val="0"/>
      <w:marRight w:val="0"/>
      <w:marTop w:val="0"/>
      <w:marBottom w:val="0"/>
      <w:divBdr>
        <w:top w:val="none" w:sz="0" w:space="0" w:color="auto"/>
        <w:left w:val="none" w:sz="0" w:space="0" w:color="auto"/>
        <w:bottom w:val="none" w:sz="0" w:space="0" w:color="auto"/>
        <w:right w:val="none" w:sz="0" w:space="0" w:color="auto"/>
      </w:divBdr>
    </w:div>
    <w:div w:id="617107912">
      <w:bodyDiv w:val="1"/>
      <w:marLeft w:val="0"/>
      <w:marRight w:val="0"/>
      <w:marTop w:val="0"/>
      <w:marBottom w:val="0"/>
      <w:divBdr>
        <w:top w:val="none" w:sz="0" w:space="0" w:color="auto"/>
        <w:left w:val="none" w:sz="0" w:space="0" w:color="auto"/>
        <w:bottom w:val="none" w:sz="0" w:space="0" w:color="auto"/>
        <w:right w:val="none" w:sz="0" w:space="0" w:color="auto"/>
      </w:divBdr>
    </w:div>
    <w:div w:id="979768930">
      <w:bodyDiv w:val="1"/>
      <w:marLeft w:val="0"/>
      <w:marRight w:val="0"/>
      <w:marTop w:val="0"/>
      <w:marBottom w:val="0"/>
      <w:divBdr>
        <w:top w:val="none" w:sz="0" w:space="0" w:color="auto"/>
        <w:left w:val="none" w:sz="0" w:space="0" w:color="auto"/>
        <w:bottom w:val="none" w:sz="0" w:space="0" w:color="auto"/>
        <w:right w:val="none" w:sz="0" w:space="0" w:color="auto"/>
      </w:divBdr>
    </w:div>
    <w:div w:id="995500345">
      <w:bodyDiv w:val="1"/>
      <w:marLeft w:val="0"/>
      <w:marRight w:val="0"/>
      <w:marTop w:val="0"/>
      <w:marBottom w:val="0"/>
      <w:divBdr>
        <w:top w:val="none" w:sz="0" w:space="0" w:color="auto"/>
        <w:left w:val="none" w:sz="0" w:space="0" w:color="auto"/>
        <w:bottom w:val="none" w:sz="0" w:space="0" w:color="auto"/>
        <w:right w:val="none" w:sz="0" w:space="0" w:color="auto"/>
      </w:divBdr>
    </w:div>
    <w:div w:id="1049376097">
      <w:bodyDiv w:val="1"/>
      <w:marLeft w:val="0"/>
      <w:marRight w:val="0"/>
      <w:marTop w:val="0"/>
      <w:marBottom w:val="0"/>
      <w:divBdr>
        <w:top w:val="none" w:sz="0" w:space="0" w:color="auto"/>
        <w:left w:val="none" w:sz="0" w:space="0" w:color="auto"/>
        <w:bottom w:val="none" w:sz="0" w:space="0" w:color="auto"/>
        <w:right w:val="none" w:sz="0" w:space="0" w:color="auto"/>
      </w:divBdr>
    </w:div>
    <w:div w:id="1057508050">
      <w:bodyDiv w:val="1"/>
      <w:marLeft w:val="0"/>
      <w:marRight w:val="0"/>
      <w:marTop w:val="0"/>
      <w:marBottom w:val="0"/>
      <w:divBdr>
        <w:top w:val="none" w:sz="0" w:space="0" w:color="auto"/>
        <w:left w:val="none" w:sz="0" w:space="0" w:color="auto"/>
        <w:bottom w:val="none" w:sz="0" w:space="0" w:color="auto"/>
        <w:right w:val="none" w:sz="0" w:space="0" w:color="auto"/>
      </w:divBdr>
    </w:div>
    <w:div w:id="1275021871">
      <w:bodyDiv w:val="1"/>
      <w:marLeft w:val="0"/>
      <w:marRight w:val="0"/>
      <w:marTop w:val="0"/>
      <w:marBottom w:val="0"/>
      <w:divBdr>
        <w:top w:val="none" w:sz="0" w:space="0" w:color="auto"/>
        <w:left w:val="none" w:sz="0" w:space="0" w:color="auto"/>
        <w:bottom w:val="none" w:sz="0" w:space="0" w:color="auto"/>
        <w:right w:val="none" w:sz="0" w:space="0" w:color="auto"/>
      </w:divBdr>
    </w:div>
    <w:div w:id="1296763573">
      <w:bodyDiv w:val="1"/>
      <w:marLeft w:val="0"/>
      <w:marRight w:val="0"/>
      <w:marTop w:val="0"/>
      <w:marBottom w:val="0"/>
      <w:divBdr>
        <w:top w:val="none" w:sz="0" w:space="0" w:color="auto"/>
        <w:left w:val="none" w:sz="0" w:space="0" w:color="auto"/>
        <w:bottom w:val="none" w:sz="0" w:space="0" w:color="auto"/>
        <w:right w:val="none" w:sz="0" w:space="0" w:color="auto"/>
      </w:divBdr>
    </w:div>
    <w:div w:id="1422721624">
      <w:bodyDiv w:val="1"/>
      <w:marLeft w:val="0"/>
      <w:marRight w:val="0"/>
      <w:marTop w:val="0"/>
      <w:marBottom w:val="0"/>
      <w:divBdr>
        <w:top w:val="none" w:sz="0" w:space="0" w:color="auto"/>
        <w:left w:val="none" w:sz="0" w:space="0" w:color="auto"/>
        <w:bottom w:val="none" w:sz="0" w:space="0" w:color="auto"/>
        <w:right w:val="none" w:sz="0" w:space="0" w:color="auto"/>
      </w:divBdr>
    </w:div>
    <w:div w:id="1444036876">
      <w:bodyDiv w:val="1"/>
      <w:marLeft w:val="0"/>
      <w:marRight w:val="0"/>
      <w:marTop w:val="0"/>
      <w:marBottom w:val="0"/>
      <w:divBdr>
        <w:top w:val="none" w:sz="0" w:space="0" w:color="auto"/>
        <w:left w:val="none" w:sz="0" w:space="0" w:color="auto"/>
        <w:bottom w:val="none" w:sz="0" w:space="0" w:color="auto"/>
        <w:right w:val="none" w:sz="0" w:space="0" w:color="auto"/>
      </w:divBdr>
    </w:div>
    <w:div w:id="1558785418">
      <w:bodyDiv w:val="1"/>
      <w:marLeft w:val="0"/>
      <w:marRight w:val="0"/>
      <w:marTop w:val="0"/>
      <w:marBottom w:val="0"/>
      <w:divBdr>
        <w:top w:val="none" w:sz="0" w:space="0" w:color="auto"/>
        <w:left w:val="none" w:sz="0" w:space="0" w:color="auto"/>
        <w:bottom w:val="none" w:sz="0" w:space="0" w:color="auto"/>
        <w:right w:val="none" w:sz="0" w:space="0" w:color="auto"/>
      </w:divBdr>
    </w:div>
    <w:div w:id="1562980792">
      <w:bodyDiv w:val="1"/>
      <w:marLeft w:val="0"/>
      <w:marRight w:val="0"/>
      <w:marTop w:val="0"/>
      <w:marBottom w:val="0"/>
      <w:divBdr>
        <w:top w:val="none" w:sz="0" w:space="0" w:color="auto"/>
        <w:left w:val="none" w:sz="0" w:space="0" w:color="auto"/>
        <w:bottom w:val="none" w:sz="0" w:space="0" w:color="auto"/>
        <w:right w:val="none" w:sz="0" w:space="0" w:color="auto"/>
      </w:divBdr>
    </w:div>
    <w:div w:id="1618180210">
      <w:bodyDiv w:val="1"/>
      <w:marLeft w:val="0"/>
      <w:marRight w:val="0"/>
      <w:marTop w:val="0"/>
      <w:marBottom w:val="0"/>
      <w:divBdr>
        <w:top w:val="none" w:sz="0" w:space="0" w:color="auto"/>
        <w:left w:val="none" w:sz="0" w:space="0" w:color="auto"/>
        <w:bottom w:val="none" w:sz="0" w:space="0" w:color="auto"/>
        <w:right w:val="none" w:sz="0" w:space="0" w:color="auto"/>
      </w:divBdr>
    </w:div>
    <w:div w:id="1696350532">
      <w:bodyDiv w:val="1"/>
      <w:marLeft w:val="0"/>
      <w:marRight w:val="0"/>
      <w:marTop w:val="0"/>
      <w:marBottom w:val="0"/>
      <w:divBdr>
        <w:top w:val="none" w:sz="0" w:space="0" w:color="auto"/>
        <w:left w:val="none" w:sz="0" w:space="0" w:color="auto"/>
        <w:bottom w:val="none" w:sz="0" w:space="0" w:color="auto"/>
        <w:right w:val="none" w:sz="0" w:space="0" w:color="auto"/>
      </w:divBdr>
    </w:div>
    <w:div w:id="1719207740">
      <w:bodyDiv w:val="1"/>
      <w:marLeft w:val="0"/>
      <w:marRight w:val="0"/>
      <w:marTop w:val="0"/>
      <w:marBottom w:val="0"/>
      <w:divBdr>
        <w:top w:val="none" w:sz="0" w:space="0" w:color="auto"/>
        <w:left w:val="none" w:sz="0" w:space="0" w:color="auto"/>
        <w:bottom w:val="none" w:sz="0" w:space="0" w:color="auto"/>
        <w:right w:val="none" w:sz="0" w:space="0" w:color="auto"/>
      </w:divBdr>
    </w:div>
    <w:div w:id="1912501790">
      <w:bodyDiv w:val="1"/>
      <w:marLeft w:val="0"/>
      <w:marRight w:val="0"/>
      <w:marTop w:val="0"/>
      <w:marBottom w:val="0"/>
      <w:divBdr>
        <w:top w:val="none" w:sz="0" w:space="0" w:color="auto"/>
        <w:left w:val="none" w:sz="0" w:space="0" w:color="auto"/>
        <w:bottom w:val="none" w:sz="0" w:space="0" w:color="auto"/>
        <w:right w:val="none" w:sz="0" w:space="0" w:color="auto"/>
      </w:divBdr>
    </w:div>
    <w:div w:id="1948003249">
      <w:bodyDiv w:val="1"/>
      <w:marLeft w:val="0"/>
      <w:marRight w:val="0"/>
      <w:marTop w:val="0"/>
      <w:marBottom w:val="0"/>
      <w:divBdr>
        <w:top w:val="none" w:sz="0" w:space="0" w:color="auto"/>
        <w:left w:val="none" w:sz="0" w:space="0" w:color="auto"/>
        <w:bottom w:val="none" w:sz="0" w:space="0" w:color="auto"/>
        <w:right w:val="none" w:sz="0" w:space="0" w:color="auto"/>
      </w:divBdr>
    </w:div>
    <w:div w:id="197159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kislovatn\Desktop\&#1044;&#1080;&#1072;&#1075;&#1088;&#1072;&#1084;&#1084;&#1072;%201%20&#1087;&#1086;&#1083;&#1091;&#1075;&#1086;&#1076;&#1080;&#1077;%2020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111111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2121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313131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4141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115151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16161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933040943172008"/>
          <c:y val="5.2405980151476517E-2"/>
          <c:w val="0.46701052433592383"/>
          <c:h val="0.9267203385864502"/>
        </c:manualLayout>
      </c:layout>
      <c:barChart>
        <c:barDir val="bar"/>
        <c:grouping val="clustered"/>
        <c:varyColors val="0"/>
        <c:ser>
          <c:idx val="0"/>
          <c:order val="0"/>
          <c:spPr>
            <a:solidFill>
              <a:srgbClr val="1F497D">
                <a:lumMod val="60000"/>
                <a:lumOff val="40000"/>
              </a:srgbClr>
            </a:solidFill>
            <a:ln w="25400">
              <a:noFill/>
            </a:ln>
          </c:spPr>
          <c:invertIfNegative val="0"/>
          <c:dLbls>
            <c:spPr>
              <a:noFill/>
              <a:ln w="25400">
                <a:noFill/>
              </a:ln>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Д6ЗП!$K$2:$K$24</c:f>
              <c:strCache>
                <c:ptCount val="23"/>
                <c:pt idx="0">
                  <c:v>Муниципальное автономное учреждение  дополнительного образования Центр образования и профессиональной ориентации</c:v>
                </c:pt>
                <c:pt idx="1">
                  <c:v>Муниципальное бюджетное учреждение культуры Верхнепышминский исторический музей</c:v>
                </c:pt>
                <c:pt idx="2">
                  <c:v>Муниципальное бюджетное учреждение «Манин парк»</c:v>
                </c:pt>
                <c:pt idx="3">
                  <c:v>Муниципальное автономное учреждение дополнительного образования Спортивная школа по автомотоспорту</c:v>
                </c:pt>
                <c:pt idx="4">
                  <c:v>Муниципальное бюджетное  учреждение Специализированная похоронная служба городского округа Верхняя Пышма</c:v>
                </c:pt>
                <c:pt idx="5">
                  <c:v>Муниципальное автономное учреждение дополнительного образования Спортивная школа олимпийского резерва «Лидер»</c:v>
                </c:pt>
                <c:pt idx="6">
                  <c:v>Красненская поселковая администрация городского округа Верхняя Пышма</c:v>
                </c:pt>
                <c:pt idx="7">
                  <c:v>Муниципальное бюджетное учреждение Центр пространственного развития городского округа Верхняя Пышма</c:v>
                </c:pt>
                <c:pt idx="8">
                  <c:v>Муниципальное бюджетное учреждение культуры Объединение сельских клубов «Луч»</c:v>
                </c:pt>
                <c:pt idx="9">
                  <c:v>Мостовская сельская администрация городского округа Верхняя Пышма</c:v>
                </c:pt>
                <c:pt idx="10">
                  <c:v>Комитет по управлению имуществом администрации городского округа Верхняя Пышма</c:v>
                </c:pt>
                <c:pt idx="11">
                  <c:v>Исетская поселковая администрация городского округа Верхняя Пышма</c:v>
                </c:pt>
                <c:pt idx="12">
                  <c:v>Муниципальное бюджетное учреждение культуры Верхнепышминская централизованная библиотечная система</c:v>
                </c:pt>
                <c:pt idx="13">
                  <c:v>Муниципальное казенное учреждение Управление образования городского округа Верхняя Пышма</c:v>
                </c:pt>
                <c:pt idx="14">
                  <c:v>Балтымская сельская администрация ГО Верхняя Пышма</c:v>
                </c:pt>
                <c:pt idx="15">
                  <c:v>Кедровская поселковая администрация городского округа Верхняя Пышма</c:v>
                </c:pt>
                <c:pt idx="16">
                  <c:v>Муниципальное казенное учреждение Управление культуры городского округа Верхняя Пышма</c:v>
                </c:pt>
                <c:pt idx="17">
                  <c:v>Администрация городского округа Верхняя Пышма</c:v>
                </c:pt>
                <c:pt idx="18">
                  <c:v>Муниципальное бюджетное учреждение Дорожно-эксплуатационное управление городского округа Верхняя Пышма</c:v>
                </c:pt>
                <c:pt idx="19">
                  <c:v>Муниципальное казенное учреждение Управление физической культуры, спорта и молодежной политики городского округа Верхняя Пышма</c:v>
                </c:pt>
                <c:pt idx="20">
                  <c:v>Муниципальное казенное учреждение Управление гражданской защиты городского округа Верхняя Пышма</c:v>
                </c:pt>
                <c:pt idx="21">
                  <c:v>Муниципальное казенное учреждение Управление капитального строительства и жилищно-коммунального хозяйства городского округа Верхняя Пышма</c:v>
                </c:pt>
                <c:pt idx="22">
                  <c:v>Муниципальное казенное учреждение Административно-хозяйственное управление</c:v>
                </c:pt>
              </c:strCache>
            </c:strRef>
          </c:cat>
          <c:val>
            <c:numRef>
              <c:f>Д6ЗП!$L$2:$L$24</c:f>
              <c:numCache>
                <c:formatCode>General</c:formatCode>
                <c:ptCount val="23"/>
                <c:pt idx="0">
                  <c:v>1</c:v>
                </c:pt>
                <c:pt idx="1">
                  <c:v>1</c:v>
                </c:pt>
                <c:pt idx="2">
                  <c:v>1</c:v>
                </c:pt>
                <c:pt idx="3">
                  <c:v>1</c:v>
                </c:pt>
                <c:pt idx="4">
                  <c:v>1</c:v>
                </c:pt>
                <c:pt idx="5">
                  <c:v>1</c:v>
                </c:pt>
                <c:pt idx="6">
                  <c:v>2</c:v>
                </c:pt>
                <c:pt idx="7">
                  <c:v>3</c:v>
                </c:pt>
                <c:pt idx="8">
                  <c:v>3</c:v>
                </c:pt>
                <c:pt idx="9">
                  <c:v>3</c:v>
                </c:pt>
                <c:pt idx="10">
                  <c:v>4</c:v>
                </c:pt>
                <c:pt idx="11">
                  <c:v>4</c:v>
                </c:pt>
                <c:pt idx="12">
                  <c:v>4</c:v>
                </c:pt>
                <c:pt idx="13">
                  <c:v>5</c:v>
                </c:pt>
                <c:pt idx="14">
                  <c:v>6</c:v>
                </c:pt>
                <c:pt idx="15">
                  <c:v>6</c:v>
                </c:pt>
                <c:pt idx="16">
                  <c:v>6</c:v>
                </c:pt>
                <c:pt idx="17">
                  <c:v>9</c:v>
                </c:pt>
                <c:pt idx="18">
                  <c:v>13</c:v>
                </c:pt>
                <c:pt idx="19">
                  <c:v>17</c:v>
                </c:pt>
                <c:pt idx="20">
                  <c:v>24</c:v>
                </c:pt>
                <c:pt idx="21">
                  <c:v>27</c:v>
                </c:pt>
                <c:pt idx="22">
                  <c:v>27</c:v>
                </c:pt>
              </c:numCache>
            </c:numRef>
          </c:val>
        </c:ser>
        <c:dLbls>
          <c:showLegendKey val="0"/>
          <c:showVal val="0"/>
          <c:showCatName val="0"/>
          <c:showSerName val="0"/>
          <c:showPercent val="0"/>
          <c:showBubbleSize val="0"/>
        </c:dLbls>
        <c:gapWidth val="182"/>
        <c:axId val="224334848"/>
        <c:axId val="146177344"/>
      </c:barChart>
      <c:catAx>
        <c:axId val="224334848"/>
        <c:scaling>
          <c:orientation val="minMax"/>
        </c:scaling>
        <c:delete val="0"/>
        <c:axPos val="l"/>
        <c:majorGridlines/>
        <c:numFmt formatCode="General" sourceLinked="1"/>
        <c:majorTickMark val="none"/>
        <c:minorTickMark val="none"/>
        <c:tickLblPos val="nextTo"/>
        <c:spPr>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1"/>
            <a:tileRect/>
          </a:gradFill>
          <a:ln w="9525" cap="flat" cmpd="sng" algn="ctr">
            <a:solidFill>
              <a:schemeClr val="tx1">
                <a:lumMod val="15000"/>
                <a:lumOff val="85000"/>
              </a:schemeClr>
            </a:solidFill>
            <a:round/>
          </a:ln>
          <a:effectLst/>
        </c:spPr>
        <c:txPr>
          <a:bodyPr rot="-60000000" vert="horz"/>
          <a:lstStyle/>
          <a:p>
            <a:pPr>
              <a:defRPr/>
            </a:pPr>
            <a:endParaRPr lang="ru-RU"/>
          </a:p>
        </c:txPr>
        <c:crossAx val="146177344"/>
        <c:crosses val="autoZero"/>
        <c:auto val="1"/>
        <c:lblAlgn val="ctr"/>
        <c:lblOffset val="100"/>
        <c:noMultiLvlLbl val="0"/>
      </c:catAx>
      <c:valAx>
        <c:axId val="146177344"/>
        <c:scaling>
          <c:orientation val="minMax"/>
          <c:max val="3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vert="horz"/>
          <a:lstStyle/>
          <a:p>
            <a:pPr>
              <a:defRPr/>
            </a:pPr>
            <a:endParaRPr lang="ru-RU"/>
          </a:p>
        </c:txPr>
        <c:crossAx val="224334848"/>
        <c:crosses val="autoZero"/>
        <c:crossBetween val="between"/>
      </c:valAx>
      <c:spPr>
        <a:noFill/>
        <a:ln w="25400">
          <a:noFill/>
        </a:ln>
      </c:spPr>
    </c:plotArea>
    <c:plotVisOnly val="1"/>
    <c:dispBlanksAs val="gap"/>
    <c:showDLblsOverMax val="0"/>
  </c:chart>
  <c:spP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8100000" scaled="1"/>
      <a:tileRect/>
    </a:gradFill>
    <a:ln w="9525" cap="flat" cmpd="sng" algn="ctr">
      <a:solidFill>
        <a:schemeClr val="tx1">
          <a:lumMod val="15000"/>
          <a:lumOff val="85000"/>
        </a:schemeClr>
      </a:solidFill>
      <a:round/>
    </a:ln>
    <a:effectLst/>
  </c:spPr>
  <c:txPr>
    <a:bodyPr/>
    <a:lstStyle/>
    <a:p>
      <a:pPr algn="just">
        <a:defRPr sz="900" baseline="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7645141579524783"/>
          <c:y val="5.2405980151476517E-2"/>
          <c:w val="0.49277257009540476"/>
          <c:h val="0.9267203385864502"/>
        </c:manualLayout>
      </c:layout>
      <c:barChart>
        <c:barDir val="bar"/>
        <c:grouping val="clustered"/>
        <c:varyColors val="0"/>
        <c:ser>
          <c:idx val="0"/>
          <c:order val="0"/>
          <c:spPr>
            <a:solidFill>
              <a:srgbClr val="1F497D">
                <a:lumMod val="60000"/>
                <a:lumOff val="40000"/>
              </a:srgbClr>
            </a:solidFill>
            <a:ln w="25400">
              <a:noFill/>
            </a:ln>
          </c:spPr>
          <c:invertIfNegative val="0"/>
          <c:dLbls>
            <c:spPr>
              <a:noFill/>
              <a:ln w="25400">
                <a:noFill/>
              </a:ln>
            </c:spPr>
            <c:txPr>
              <a:bodyPr rot="0" vert="horz"/>
              <a:lstStyle/>
              <a:p>
                <a:pPr>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Д6ЗП!$K$2:$K$24</c:f>
              <c:strCache>
                <c:ptCount val="23"/>
                <c:pt idx="0">
                  <c:v>Муниципальное бюджетное учреждение культуры Верхнепышминский исторический музей</c:v>
                </c:pt>
                <c:pt idx="1">
                  <c:v>Муниципальное казенное учреждение Управление культуры городского округа Верхняя Пышма</c:v>
                </c:pt>
                <c:pt idx="2">
                  <c:v>Муниципальное казенное учреждение Управление образования городского округа Верхняя Пышма</c:v>
                </c:pt>
                <c:pt idx="3">
                  <c:v>Комитет по управлению имуществом администрации городского округа Верхняя Пышма</c:v>
                </c:pt>
                <c:pt idx="4">
                  <c:v>Муниципальное бюджетное учреждение Центр пространственного развития городского округа Верхняя Пышма</c:v>
                </c:pt>
                <c:pt idx="5">
                  <c:v>Муниципальное бюджетное  учреждение Специализированная похоронная служба городского округа Верхняя Пышма</c:v>
                </c:pt>
                <c:pt idx="6">
                  <c:v>Муниципальное бюджетное учреждение «Манин парк»</c:v>
                </c:pt>
                <c:pt idx="7">
                  <c:v>Муниципальное бюджетное учреждение культуры Объединение сельских клубов «Луч»</c:v>
                </c:pt>
                <c:pt idx="8">
                  <c:v>Муниципальное казенное учреждение Управление физической культуры, спорта и молодежной политики городского округа Верхняя Пышма</c:v>
                </c:pt>
                <c:pt idx="9">
                  <c:v>Муниципальное бюджетное учреждение культуры Верхнепышминская централизованная библиотечная система</c:v>
                </c:pt>
                <c:pt idx="10">
                  <c:v>Исетская поселковая администрация городского округа Верхняя Пышма</c:v>
                </c:pt>
                <c:pt idx="11">
                  <c:v>Муниципальное бюджетное учреждение Дорожно-эксплуатационное управление городского округа Верхняя Пышма</c:v>
                </c:pt>
                <c:pt idx="12">
                  <c:v>Мостовская сельская администрация городского округа Верхняя Пышма</c:v>
                </c:pt>
                <c:pt idx="13">
                  <c:v>Кедровская поселковая администрация городского округа Верхняя Пышма</c:v>
                </c:pt>
                <c:pt idx="14">
                  <c:v>Администрация городского округа Верхняя Пышма</c:v>
                </c:pt>
                <c:pt idx="15">
                  <c:v>Муниципальное казенное учреждение Управление гражданской защиты городского округа Верхняя Пышма</c:v>
                </c:pt>
                <c:pt idx="16">
                  <c:v>Красненская поселковая администрация городского округа Верхняя Пышма</c:v>
                </c:pt>
                <c:pt idx="17">
                  <c:v>Муниципальное автономное учреждение  дополнительного образования Центр образования и профессиональной ориентации</c:v>
                </c:pt>
                <c:pt idx="18">
                  <c:v>Муниципальное казенное учреждение Административно-хозяйственное управление</c:v>
                </c:pt>
                <c:pt idx="19">
                  <c:v>Балтымская сельская администрация ГО Верхняя Пышма</c:v>
                </c:pt>
                <c:pt idx="20">
                  <c:v>Муниципальное автономное учреждение дополнительного образования Спортивная школа олимпийского резерва «Лидер»</c:v>
                </c:pt>
                <c:pt idx="21">
                  <c:v>Муниципальное автономное учреждение дополнительного образования Спортивная школа по автомотоспорту</c:v>
                </c:pt>
                <c:pt idx="22">
                  <c:v>Муниципальное казенное учреждение Управление капитального строительства и жилищно-коммунального хозяйства городского округа Верхняя Пышма</c:v>
                </c:pt>
              </c:strCache>
            </c:strRef>
          </c:cat>
          <c:val>
            <c:numRef>
              <c:f>Д6ЗП!$L$2:$L$24</c:f>
              <c:numCache>
                <c:formatCode>General</c:formatCode>
                <c:ptCount val="23"/>
                <c:pt idx="0">
                  <c:v>591.29999999999995</c:v>
                </c:pt>
                <c:pt idx="1">
                  <c:v>765.5</c:v>
                </c:pt>
                <c:pt idx="2">
                  <c:v>1372.1</c:v>
                </c:pt>
                <c:pt idx="3">
                  <c:v>1531.1</c:v>
                </c:pt>
                <c:pt idx="4">
                  <c:v>2136.6</c:v>
                </c:pt>
                <c:pt idx="5">
                  <c:v>2730</c:v>
                </c:pt>
                <c:pt idx="6" formatCode="#,##0.00">
                  <c:v>3400</c:v>
                </c:pt>
                <c:pt idx="7">
                  <c:v>3672</c:v>
                </c:pt>
                <c:pt idx="8">
                  <c:v>4504.3</c:v>
                </c:pt>
                <c:pt idx="9">
                  <c:v>4902.3999999999996</c:v>
                </c:pt>
                <c:pt idx="10">
                  <c:v>5965.4</c:v>
                </c:pt>
                <c:pt idx="11">
                  <c:v>9262.5</c:v>
                </c:pt>
                <c:pt idx="12">
                  <c:v>9364.9</c:v>
                </c:pt>
                <c:pt idx="13">
                  <c:v>11144.9</c:v>
                </c:pt>
                <c:pt idx="14">
                  <c:v>14947.1</c:v>
                </c:pt>
                <c:pt idx="15">
                  <c:v>16145.7</c:v>
                </c:pt>
                <c:pt idx="16">
                  <c:v>20526.2</c:v>
                </c:pt>
                <c:pt idx="17" formatCode="#,##0.00">
                  <c:v>22664.799999999999</c:v>
                </c:pt>
                <c:pt idx="18">
                  <c:v>33568.9</c:v>
                </c:pt>
                <c:pt idx="19">
                  <c:v>40288.1</c:v>
                </c:pt>
                <c:pt idx="20" formatCode="#,##0.00">
                  <c:v>44626.5</c:v>
                </c:pt>
                <c:pt idx="21" formatCode="#,##0">
                  <c:v>63884.9</c:v>
                </c:pt>
                <c:pt idx="22">
                  <c:v>1020391.4</c:v>
                </c:pt>
              </c:numCache>
            </c:numRef>
          </c:val>
        </c:ser>
        <c:dLbls>
          <c:dLblPos val="ctr"/>
          <c:showLegendKey val="0"/>
          <c:showVal val="1"/>
          <c:showCatName val="0"/>
          <c:showSerName val="0"/>
          <c:showPercent val="0"/>
          <c:showBubbleSize val="0"/>
        </c:dLbls>
        <c:gapWidth val="182"/>
        <c:axId val="224336896"/>
        <c:axId val="179996352"/>
      </c:barChart>
      <c:catAx>
        <c:axId val="224336896"/>
        <c:scaling>
          <c:orientation val="minMax"/>
        </c:scaling>
        <c:delete val="0"/>
        <c:axPos val="l"/>
        <c:majorGridlines/>
        <c:numFmt formatCode="General" sourceLinked="1"/>
        <c:majorTickMark val="none"/>
        <c:minorTickMark val="none"/>
        <c:tickLblPos val="nextTo"/>
        <c:spPr>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1"/>
            <a:tileRect/>
          </a:gradFill>
          <a:ln w="9525" cap="flat" cmpd="sng" algn="ctr">
            <a:solidFill>
              <a:schemeClr val="tx1">
                <a:lumMod val="15000"/>
                <a:lumOff val="85000"/>
              </a:schemeClr>
            </a:solidFill>
            <a:round/>
          </a:ln>
          <a:effectLst/>
        </c:spPr>
        <c:txPr>
          <a:bodyPr rot="-60000000" vert="horz"/>
          <a:lstStyle/>
          <a:p>
            <a:pPr>
              <a:defRPr/>
            </a:pPr>
            <a:endParaRPr lang="ru-RU"/>
          </a:p>
        </c:txPr>
        <c:crossAx val="179996352"/>
        <c:crosses val="autoZero"/>
        <c:auto val="1"/>
        <c:lblAlgn val="ctr"/>
        <c:lblOffset val="100"/>
        <c:noMultiLvlLbl val="0"/>
      </c:catAx>
      <c:valAx>
        <c:axId val="179996352"/>
        <c:scaling>
          <c:orientation val="minMax"/>
          <c:max val="110000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ln w="9525">
            <a:noFill/>
          </a:ln>
        </c:spPr>
        <c:txPr>
          <a:bodyPr rot="-60000000" vert="horz"/>
          <a:lstStyle/>
          <a:p>
            <a:pPr>
              <a:defRPr/>
            </a:pPr>
            <a:endParaRPr lang="ru-RU"/>
          </a:p>
        </c:txPr>
        <c:crossAx val="224336896"/>
        <c:crosses val="autoZero"/>
        <c:crossBetween val="between"/>
      </c:valAx>
      <c:spPr>
        <a:noFill/>
        <a:ln w="25400">
          <a:noFill/>
        </a:ln>
      </c:spPr>
    </c:plotArea>
    <c:plotVisOnly val="1"/>
    <c:dispBlanksAs val="gap"/>
    <c:showDLblsOverMax val="0"/>
  </c:chart>
  <c:spP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8100000" scaled="1"/>
      <a:tileRect/>
    </a:gradFill>
    <a:ln w="9525" cap="flat" cmpd="sng" algn="ctr">
      <a:solidFill>
        <a:schemeClr val="tx1">
          <a:lumMod val="15000"/>
          <a:lumOff val="85000"/>
        </a:schemeClr>
      </a:solidFill>
      <a:round/>
    </a:ln>
    <a:effectLst/>
  </c:spPr>
  <c:txPr>
    <a:bodyPr/>
    <a:lstStyle/>
    <a:p>
      <a:pPr>
        <a:defRPr sz="900" baseline="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Способ определения поставщика (подрядчика, исполнителя)</a:t>
            </a:r>
          </a:p>
        </c:rich>
      </c:tx>
      <c:overlay val="0"/>
      <c:spPr>
        <a:noFill/>
        <a:ln w="25400">
          <a:noFill/>
        </a:ln>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Д14!$M$4:$M$10</c:f>
              <c:strCache>
                <c:ptCount val="3"/>
                <c:pt idx="0">
                  <c:v>электронный аукцион </c:v>
                </c:pt>
                <c:pt idx="1">
                  <c:v>открытый конкурс в электронной форме</c:v>
                </c:pt>
                <c:pt idx="2">
                  <c:v>запрос котировок в электронной форме</c:v>
                </c:pt>
              </c:strCache>
            </c:strRef>
          </c:cat>
          <c:val>
            <c:numRef>
              <c:f>Д14!$N$4:$N$6</c:f>
              <c:numCache>
                <c:formatCode>#,##0.0</c:formatCode>
                <c:ptCount val="3"/>
                <c:pt idx="0">
                  <c:v>143</c:v>
                </c:pt>
                <c:pt idx="1">
                  <c:v>4</c:v>
                </c:pt>
                <c:pt idx="2">
                  <c:v>22</c:v>
                </c:pt>
              </c:numCache>
            </c:numRef>
          </c:val>
        </c:ser>
        <c:dLbls>
          <c:showLegendKey val="0"/>
          <c:showVal val="0"/>
          <c:showCatName val="0"/>
          <c:showSerName val="0"/>
          <c:showPercent val="0"/>
          <c:showBubbleSize val="0"/>
        </c:dLbls>
        <c:gapWidth val="100"/>
        <c:overlap val="-24"/>
        <c:axId val="212129792"/>
        <c:axId val="179998080"/>
      </c:barChart>
      <c:catAx>
        <c:axId val="212129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9998080"/>
        <c:crosses val="autoZero"/>
        <c:auto val="1"/>
        <c:lblAlgn val="ctr"/>
        <c:lblOffset val="100"/>
        <c:noMultiLvlLbl val="0"/>
      </c:catAx>
      <c:valAx>
        <c:axId val="1799980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12129792"/>
        <c:crosses val="autoZero"/>
        <c:crossBetween val="between"/>
      </c:valAx>
      <c:spPr>
        <a:noFill/>
        <a:ln w="25400">
          <a:noFill/>
        </a:ln>
      </c:spPr>
    </c:plotArea>
    <c:plotVisOnly val="1"/>
    <c:dispBlanksAs val="gap"/>
    <c:showDLblsOverMax val="0"/>
  </c:chart>
  <c:spPr>
    <a:solidFill>
      <a:srgbClr val="EEECE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aseline="0"/>
              <a:t>Информация о количестве поданных заявок, шт.</a:t>
            </a:r>
          </a:p>
        </c:rich>
      </c:tx>
      <c:overlay val="0"/>
      <c:spPr>
        <a:noFill/>
        <a:ln w="25400">
          <a:noFill/>
        </a:ln>
      </c:spPr>
    </c:title>
    <c:autoTitleDeleted val="0"/>
    <c:plotArea>
      <c:layout>
        <c:manualLayout>
          <c:layoutTarget val="inner"/>
          <c:xMode val="edge"/>
          <c:yMode val="edge"/>
          <c:x val="4.1897720271102896E-2"/>
          <c:y val="0.35474006116207951"/>
          <c:w val="0.9457794208256316"/>
          <c:h val="0.5466191496705114"/>
        </c:manualLayout>
      </c:layout>
      <c:pieChart>
        <c:varyColors val="1"/>
        <c:ser>
          <c:idx val="0"/>
          <c:order val="0"/>
          <c:spPr>
            <a:ln w="9525" cap="flat" cmpd="sng" algn="ctr">
              <a:solidFill>
                <a:schemeClr val="accent4">
                  <a:lumMod val="75000"/>
                  <a:alpha val="50000"/>
                </a:schemeClr>
              </a:solidFill>
              <a:round/>
            </a:ln>
            <a:effectLst/>
          </c:spPr>
          <c:dLbls>
            <c:dLbl>
              <c:idx val="0"/>
              <c:layout>
                <c:manualLayout>
                  <c:x val="-2.9896420063943024E-2"/>
                  <c:y val="-2.9158740478541475E-3"/>
                </c:manualLayout>
              </c:layout>
              <c:tx>
                <c:rich>
                  <a:bodyPr/>
                  <a:lstStyle/>
                  <a:p>
                    <a:r>
                      <a:rPr lang="ru-RU"/>
                      <a:t>отклонено 89</a:t>
                    </a:r>
                  </a:p>
                </c:rich>
              </c:tx>
              <c:dLblPos val="bestFit"/>
              <c:showLegendKey val="0"/>
              <c:showVal val="1"/>
              <c:showCatName val="1"/>
              <c:showSerName val="0"/>
              <c:showPercent val="0"/>
              <c:showBubbleSize val="0"/>
            </c:dLbl>
            <c:dLbl>
              <c:idx val="1"/>
              <c:layout>
                <c:manualLayout>
                  <c:x val="-1.2370597852717579E-2"/>
                  <c:y val="7.305738158876929E-3"/>
                </c:manualLayout>
              </c:layout>
              <c:tx>
                <c:rich>
                  <a:bodyPr/>
                  <a:lstStyle/>
                  <a:p>
                    <a:r>
                      <a:rPr lang="ru-RU"/>
                      <a:t>допущено 384</a:t>
                    </a:r>
                  </a:p>
                </c:rich>
              </c:tx>
              <c:dLblPos val="bestFit"/>
              <c:showLegendKey val="0"/>
              <c:showVal val="1"/>
              <c:showCatName val="1"/>
              <c:showSerName val="0"/>
              <c:showPercent val="0"/>
              <c:showBubbleSize val="0"/>
            </c:dLbl>
            <c:dLbl>
              <c:idx val="2"/>
              <c:layout>
                <c:manualLayout>
                  <c:x val="8.2487470951528464E-3"/>
                  <c:y val="-3.2620096799826699E-2"/>
                </c:manualLayout>
              </c:layout>
              <c:tx>
                <c:rich>
                  <a:bodyPr/>
                  <a:lstStyle/>
                  <a:p>
                    <a:r>
                      <a:rPr lang="ru-RU"/>
                      <a:t>всего</a:t>
                    </a:r>
                    <a:r>
                      <a:rPr lang="ru-RU" baseline="0"/>
                      <a:t> </a:t>
                    </a:r>
                    <a:r>
                      <a:rPr lang="ru-RU"/>
                      <a:t>473</a:t>
                    </a:r>
                  </a:p>
                </c:rich>
              </c:tx>
              <c:dLblPos val="bestFit"/>
              <c:showLegendKey val="0"/>
              <c:showVal val="1"/>
              <c:showCatName val="1"/>
              <c:showSerName val="0"/>
              <c:showPercent val="0"/>
              <c:showBubbleSize val="0"/>
            </c:dLbl>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1"/>
            <c:showSerName val="0"/>
            <c:showPercent val="0"/>
            <c:showBubbleSize val="0"/>
            <c:showLeaderLines val="1"/>
            <c:extLst>
              <c:ext xmlns:c15="http://schemas.microsoft.com/office/drawing/2012/chart" uri="{CE6537A1-D6FC-4f65-9D91-7224C49458BB}">
                <c15:showLeaderLines val="0"/>
              </c:ext>
            </c:extLst>
          </c:dLbls>
          <c:cat>
            <c:strRef>
              <c:f>'Д8дети 1-6'!$N$4:$N$6</c:f>
              <c:strCache>
                <c:ptCount val="3"/>
                <c:pt idx="0">
                  <c:v>отклонено</c:v>
                </c:pt>
                <c:pt idx="1">
                  <c:v>допущено</c:v>
                </c:pt>
                <c:pt idx="2">
                  <c:v>всего</c:v>
                </c:pt>
              </c:strCache>
            </c:strRef>
          </c:cat>
          <c:val>
            <c:numRef>
              <c:f>'Д8дети 1-6'!$O$4:$O$6</c:f>
              <c:numCache>
                <c:formatCode>#,##0.0</c:formatCode>
                <c:ptCount val="3"/>
                <c:pt idx="0">
                  <c:v>89</c:v>
                </c:pt>
                <c:pt idx="1">
                  <c:v>384</c:v>
                </c:pt>
                <c:pt idx="2">
                  <c:v>473</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rgbClr val="EEECE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Количество извещений для СМП, СОНКО, не СМП и СОНКО, с условием привлечения СМП, СОНКО, шт./%</a:t>
            </a:r>
          </a:p>
        </c:rich>
      </c:tx>
      <c:overlay val="0"/>
    </c:title>
    <c:autoTitleDeleted val="0"/>
    <c:plotArea>
      <c:layout/>
      <c:doughnutChart>
        <c:varyColors val="1"/>
        <c:ser>
          <c:idx val="0"/>
          <c:order val="0"/>
          <c:dLbls>
            <c:dLbl>
              <c:idx val="0"/>
              <c:layout>
                <c:manualLayout>
                  <c:x val="4.4444444444444446E-2"/>
                  <c:y val="-8.5640427862646987E-2"/>
                </c:manualLayout>
              </c:layout>
              <c:tx>
                <c:rich>
                  <a:bodyPr/>
                  <a:lstStyle/>
                  <a:p>
                    <a:r>
                      <a:rPr lang="en-US" sz="1100" b="1">
                        <a:latin typeface="Times New Roman" panose="02020603050405020304" pitchFamily="18" charset="0"/>
                        <a:cs typeface="Times New Roman" panose="02020603050405020304" pitchFamily="18" charset="0"/>
                      </a:rPr>
                      <a:t>129</a:t>
                    </a:r>
                    <a:r>
                      <a:rPr lang="ru-RU" sz="1100" b="1">
                        <a:latin typeface="Times New Roman" panose="02020603050405020304" pitchFamily="18" charset="0"/>
                        <a:cs typeface="Times New Roman" panose="02020603050405020304" pitchFamily="18" charset="0"/>
                      </a:rPr>
                      <a:t>/76,3%</a:t>
                    </a:r>
                    <a:endParaRPr lang="en-US"/>
                  </a:p>
                </c:rich>
              </c:tx>
              <c:showLegendKey val="0"/>
              <c:showVal val="1"/>
              <c:showCatName val="0"/>
              <c:showSerName val="0"/>
              <c:showPercent val="0"/>
              <c:showBubbleSize val="0"/>
            </c:dLbl>
            <c:dLbl>
              <c:idx val="1"/>
              <c:tx>
                <c:rich>
                  <a:bodyPr/>
                  <a:lstStyle/>
                  <a:p>
                    <a:r>
                      <a:rPr lang="en-US" sz="1100" b="1">
                        <a:latin typeface="Times New Roman" panose="02020603050405020304" pitchFamily="18" charset="0"/>
                        <a:cs typeface="Times New Roman" panose="02020603050405020304" pitchFamily="18" charset="0"/>
                      </a:rPr>
                      <a:t>15</a:t>
                    </a:r>
                    <a:r>
                      <a:rPr lang="ru-RU" sz="1100" b="1">
                        <a:latin typeface="Times New Roman" panose="02020603050405020304" pitchFamily="18" charset="0"/>
                        <a:cs typeface="Times New Roman" panose="02020603050405020304" pitchFamily="18" charset="0"/>
                      </a:rPr>
                      <a:t>/8,9%</a:t>
                    </a:r>
                    <a:endParaRPr lang="en-US"/>
                  </a:p>
                </c:rich>
              </c:tx>
              <c:showLegendKey val="0"/>
              <c:showVal val="1"/>
              <c:showCatName val="0"/>
              <c:showSerName val="0"/>
              <c:showPercent val="0"/>
              <c:showBubbleSize val="0"/>
            </c:dLbl>
            <c:dLbl>
              <c:idx val="2"/>
              <c:tx>
                <c:rich>
                  <a:bodyPr/>
                  <a:lstStyle/>
                  <a:p>
                    <a:r>
                      <a:rPr lang="en-US" sz="1100" b="1">
                        <a:latin typeface="Times New Roman" panose="02020603050405020304" pitchFamily="18" charset="0"/>
                        <a:cs typeface="Times New Roman" panose="02020603050405020304" pitchFamily="18" charset="0"/>
                      </a:rPr>
                      <a:t>25</a:t>
                    </a:r>
                    <a:r>
                      <a:rPr lang="ru-RU" sz="1100" b="1">
                        <a:latin typeface="Times New Roman" panose="02020603050405020304" pitchFamily="18" charset="0"/>
                        <a:cs typeface="Times New Roman" panose="02020603050405020304" pitchFamily="18" charset="0"/>
                      </a:rPr>
                      <a:t>/14,8%</a:t>
                    </a:r>
                    <a:endParaRPr lang="en-US"/>
                  </a:p>
                </c:rich>
              </c:tx>
              <c:showLegendKey val="0"/>
              <c:showVal val="1"/>
              <c:showCatName val="0"/>
              <c:showSerName val="0"/>
              <c:showPercent val="0"/>
              <c:showBubbleSize val="0"/>
            </c:dLbl>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dLbls>
          <c:cat>
            <c:strRef>
              <c:f>Лист4!$K$4:$K$6</c:f>
              <c:strCache>
                <c:ptCount val="3"/>
                <c:pt idx="0">
                  <c:v>СМП, СОНКО</c:v>
                </c:pt>
                <c:pt idx="1">
                  <c:v>Привлечение СМП,СОНКО</c:v>
                </c:pt>
                <c:pt idx="2">
                  <c:v>Не СМП, СОНКО</c:v>
                </c:pt>
              </c:strCache>
            </c:strRef>
          </c:cat>
          <c:val>
            <c:numRef>
              <c:f>Лист4!$L$4:$L$6</c:f>
              <c:numCache>
                <c:formatCode>General</c:formatCode>
                <c:ptCount val="3"/>
                <c:pt idx="0">
                  <c:v>129</c:v>
                </c:pt>
                <c:pt idx="1">
                  <c:v>15</c:v>
                </c:pt>
                <c:pt idx="2">
                  <c:v>25</c:v>
                </c:pt>
              </c:numCache>
            </c:numRef>
          </c:val>
        </c:ser>
        <c:dLbls>
          <c:showLegendKey val="0"/>
          <c:showVal val="1"/>
          <c:showCatName val="0"/>
          <c:showSerName val="0"/>
          <c:showPercent val="0"/>
          <c:showBubbleSize val="0"/>
          <c:showLeaderLines val="1"/>
        </c:dLbls>
        <c:firstSliceAng val="0"/>
        <c:holeSize val="50"/>
      </c:doughnutChart>
    </c:plotArea>
    <c:legend>
      <c:legendPos val="r"/>
      <c:overlay val="0"/>
      <c:txPr>
        <a:bodyPr/>
        <a:lstStyle/>
        <a:p>
          <a:pPr>
            <a:defRPr b="1"/>
          </a:pPr>
          <a:endParaRPr lang="ru-RU"/>
        </a:p>
      </c:txPr>
    </c:legend>
    <c:plotVisOnly val="1"/>
    <c:dispBlanksAs val="gap"/>
    <c:showDLblsOverMax val="0"/>
  </c:chart>
  <c:spPr>
    <a:solidFill>
      <a:srgbClr val="EEECE1"/>
    </a:solidFill>
    <a:ln>
      <a:solidFill>
        <a:sysClr val="windowText" lastClr="000000"/>
      </a:solidFill>
    </a:ln>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Количество</a:t>
            </a:r>
            <a:r>
              <a:rPr lang="ru-RU" sz="1400" baseline="0">
                <a:latin typeface="Times New Roman" panose="02020603050405020304" pitchFamily="18" charset="0"/>
                <a:cs typeface="Times New Roman" panose="02020603050405020304" pitchFamily="18" charset="0"/>
              </a:rPr>
              <a:t> заключенных контрактов в разрезе муниципальных заказчиков, шт.</a:t>
            </a:r>
            <a:endParaRPr lang="ru-RU" sz="1400">
              <a:latin typeface="Times New Roman" panose="02020603050405020304" pitchFamily="18" charset="0"/>
              <a:cs typeface="Times New Roman" panose="02020603050405020304" pitchFamily="18" charset="0"/>
            </a:endParaRPr>
          </a:p>
        </c:rich>
      </c:tx>
      <c:overlay val="1"/>
    </c:title>
    <c:autoTitleDeleted val="0"/>
    <c:plotArea>
      <c:layout>
        <c:manualLayout>
          <c:layoutTarget val="inner"/>
          <c:xMode val="edge"/>
          <c:yMode val="edge"/>
          <c:x val="0.48042529618295532"/>
          <c:y val="9.0036306034432925E-2"/>
          <c:w val="0.49229767676420361"/>
          <c:h val="0.873177124885821"/>
        </c:manualLayout>
      </c:layout>
      <c:barChart>
        <c:barDir val="bar"/>
        <c:grouping val="stacked"/>
        <c:varyColors val="0"/>
        <c:ser>
          <c:idx val="0"/>
          <c:order val="0"/>
          <c:invertIfNegative val="0"/>
          <c:dLbls>
            <c:dLbl>
              <c:idx val="0"/>
              <c:layout>
                <c:manualLayout>
                  <c:x val="1.8575851393188854E-2"/>
                  <c:y val="-1.1085787783854144E-16"/>
                </c:manualLayout>
              </c:layout>
              <c:showLegendKey val="0"/>
              <c:showVal val="1"/>
              <c:showCatName val="0"/>
              <c:showSerName val="0"/>
              <c:showPercent val="0"/>
              <c:showBubbleSize val="0"/>
            </c:dLbl>
            <c:dLbl>
              <c:idx val="1"/>
              <c:layout>
                <c:manualLayout>
                  <c:x val="2.4767801857585141E-2"/>
                  <c:y val="0"/>
                </c:manualLayout>
              </c:layout>
              <c:showLegendKey val="0"/>
              <c:showVal val="1"/>
              <c:showCatName val="0"/>
              <c:showSerName val="0"/>
              <c:showPercent val="0"/>
              <c:showBubbleSize val="0"/>
            </c:dLbl>
            <c:dLbl>
              <c:idx val="2"/>
              <c:layout>
                <c:manualLayout>
                  <c:x val="2.4767801857585141E-2"/>
                  <c:y val="0"/>
                </c:manualLayout>
              </c:layout>
              <c:showLegendKey val="0"/>
              <c:showVal val="1"/>
              <c:showCatName val="0"/>
              <c:showSerName val="0"/>
              <c:showPercent val="0"/>
              <c:showBubbleSize val="0"/>
            </c:dLbl>
            <c:dLbl>
              <c:idx val="3"/>
              <c:layout>
                <c:manualLayout>
                  <c:x val="2.4767801857585141E-2"/>
                  <c:y val="-1.1866098089028343E-16"/>
                </c:manualLayout>
              </c:layout>
              <c:tx>
                <c:rich>
                  <a:bodyPr/>
                  <a:lstStyle/>
                  <a:p>
                    <a:r>
                      <a:rPr lang="en-US"/>
                      <a:t>1</a:t>
                    </a:r>
                  </a:p>
                </c:rich>
              </c:tx>
              <c:showLegendKey val="0"/>
              <c:showVal val="1"/>
              <c:showCatName val="0"/>
              <c:showSerName val="0"/>
              <c:showPercent val="0"/>
              <c:showBubbleSize val="0"/>
            </c:dLbl>
            <c:dLbl>
              <c:idx val="4"/>
              <c:layout>
                <c:manualLayout>
                  <c:x val="2.4767801857585141E-2"/>
                  <c:y val="0"/>
                </c:manualLayout>
              </c:layout>
              <c:tx>
                <c:rich>
                  <a:bodyPr/>
                  <a:lstStyle/>
                  <a:p>
                    <a:r>
                      <a:rPr lang="en-US"/>
                      <a:t>1</a:t>
                    </a:r>
                  </a:p>
                </c:rich>
              </c:tx>
              <c:showLegendKey val="0"/>
              <c:showVal val="1"/>
              <c:showCatName val="0"/>
              <c:showSerName val="0"/>
              <c:showPercent val="0"/>
              <c:showBubbleSize val="0"/>
            </c:dLbl>
            <c:dLbl>
              <c:idx val="5"/>
              <c:layout>
                <c:manualLayout>
                  <c:x val="2.4767801857585141E-2"/>
                  <c:y val="0"/>
                </c:manualLayout>
              </c:layout>
              <c:showLegendKey val="0"/>
              <c:showVal val="1"/>
              <c:showCatName val="0"/>
              <c:showSerName val="0"/>
              <c:showPercent val="0"/>
              <c:showBubbleSize val="0"/>
            </c:dLbl>
            <c:dLbl>
              <c:idx val="6"/>
              <c:layout>
                <c:manualLayout>
                  <c:x val="3.0959752321981424E-2"/>
                  <c:y val="0"/>
                </c:manualLayout>
              </c:layout>
              <c:showLegendKey val="0"/>
              <c:showVal val="1"/>
              <c:showCatName val="0"/>
              <c:showSerName val="0"/>
              <c:showPercent val="0"/>
              <c:showBubbleSize val="0"/>
            </c:dLbl>
            <c:dLbl>
              <c:idx val="7"/>
              <c:layout>
                <c:manualLayout>
                  <c:x val="3.3023735810113516E-2"/>
                  <c:y val="0"/>
                </c:manualLayout>
              </c:layout>
              <c:showLegendKey val="0"/>
              <c:showVal val="1"/>
              <c:showCatName val="0"/>
              <c:showSerName val="0"/>
              <c:showPercent val="0"/>
              <c:showBubbleSize val="0"/>
            </c:dLbl>
            <c:dLbl>
              <c:idx val="8"/>
              <c:layout>
                <c:manualLayout>
                  <c:x val="3.5087719298245612E-2"/>
                  <c:y val="0"/>
                </c:manualLayout>
              </c:layout>
              <c:showLegendKey val="0"/>
              <c:showVal val="1"/>
              <c:showCatName val="0"/>
              <c:showSerName val="0"/>
              <c:showPercent val="0"/>
              <c:showBubbleSize val="0"/>
            </c:dLbl>
            <c:dLbl>
              <c:idx val="9"/>
              <c:layout>
                <c:manualLayout>
                  <c:x val="4.1279669762641899E-2"/>
                  <c:y val="0"/>
                </c:manualLayout>
              </c:layout>
              <c:showLegendKey val="0"/>
              <c:showVal val="1"/>
              <c:showCatName val="0"/>
              <c:showSerName val="0"/>
              <c:showPercent val="0"/>
              <c:showBubbleSize val="0"/>
            </c:dLbl>
            <c:dLbl>
              <c:idx val="10"/>
              <c:layout>
                <c:manualLayout>
                  <c:x val="3.7151702786377708E-2"/>
                  <c:y val="-1.1866098089028343E-16"/>
                </c:manualLayout>
              </c:layout>
              <c:showLegendKey val="0"/>
              <c:showVal val="1"/>
              <c:showCatName val="0"/>
              <c:showSerName val="0"/>
              <c:showPercent val="0"/>
              <c:showBubbleSize val="0"/>
            </c:dLbl>
            <c:dLbl>
              <c:idx val="11"/>
              <c:layout>
                <c:manualLayout>
                  <c:x val="4.747162022703811E-2"/>
                  <c:y val="-5.9330490445141715E-17"/>
                </c:manualLayout>
              </c:layout>
              <c:showLegendKey val="0"/>
              <c:showVal val="1"/>
              <c:showCatName val="0"/>
              <c:showSerName val="0"/>
              <c:showPercent val="0"/>
              <c:showBubbleSize val="0"/>
            </c:dLbl>
            <c:dLbl>
              <c:idx val="12"/>
              <c:layout>
                <c:manualLayout>
                  <c:x val="4.9535603715170205E-2"/>
                  <c:y val="-5.9330490445141715E-17"/>
                </c:manualLayout>
              </c:layout>
              <c:showLegendKey val="0"/>
              <c:showVal val="1"/>
              <c:showCatName val="0"/>
              <c:showSerName val="0"/>
              <c:showPercent val="0"/>
              <c:showBubbleSize val="0"/>
            </c:dLbl>
            <c:dLbl>
              <c:idx val="13"/>
              <c:layout>
                <c:manualLayout>
                  <c:x val="4.9535603715170205E-2"/>
                  <c:y val="0"/>
                </c:manualLayout>
              </c:layout>
              <c:showLegendKey val="0"/>
              <c:showVal val="1"/>
              <c:showCatName val="0"/>
              <c:showSerName val="0"/>
              <c:showPercent val="0"/>
              <c:showBubbleSize val="0"/>
            </c:dLbl>
            <c:dLbl>
              <c:idx val="14"/>
              <c:layout>
                <c:manualLayout>
                  <c:x val="5.5727554179566562E-2"/>
                  <c:y val="-4.8543689320388345E-3"/>
                </c:manualLayout>
              </c:layout>
              <c:showLegendKey val="0"/>
              <c:showVal val="1"/>
              <c:showCatName val="0"/>
              <c:showSerName val="0"/>
              <c:showPercent val="0"/>
              <c:showBubbleSize val="0"/>
            </c:dLbl>
            <c:dLbl>
              <c:idx val="15"/>
              <c:layout>
                <c:manualLayout>
                  <c:x val="6.6047471620226963E-2"/>
                  <c:y val="0"/>
                </c:manualLayout>
              </c:layout>
              <c:showLegendKey val="0"/>
              <c:showVal val="1"/>
              <c:showCatName val="0"/>
              <c:showSerName val="0"/>
              <c:showPercent val="0"/>
              <c:showBubbleSize val="0"/>
            </c:dLbl>
            <c:dLbl>
              <c:idx val="16"/>
              <c:layout>
                <c:manualLayout>
                  <c:x val="6.8111455108359059E-2"/>
                  <c:y val="-5.9330490445141715E-17"/>
                </c:manualLayout>
              </c:layout>
              <c:showLegendKey val="0"/>
              <c:showVal val="1"/>
              <c:showCatName val="0"/>
              <c:showSerName val="0"/>
              <c:showPercent val="0"/>
              <c:showBubbleSize val="0"/>
            </c:dLbl>
            <c:dLbl>
              <c:idx val="17"/>
              <c:layout>
                <c:manualLayout>
                  <c:x val="9.2879256965944276E-2"/>
                  <c:y val="-3.2362459546925568E-3"/>
                </c:manualLayout>
              </c:layout>
              <c:showLegendKey val="0"/>
              <c:showVal val="1"/>
              <c:showCatName val="0"/>
              <c:showSerName val="0"/>
              <c:showPercent val="0"/>
              <c:showBubbleSize val="0"/>
            </c:dLbl>
            <c:dLbl>
              <c:idx val="18"/>
              <c:layout>
                <c:manualLayout>
                  <c:x val="0.10939112487100111"/>
                  <c:y val="-1.6181229773462784E-3"/>
                </c:manualLayout>
              </c:layout>
              <c:showLegendKey val="0"/>
              <c:showVal val="1"/>
              <c:showCatName val="0"/>
              <c:showSerName val="0"/>
              <c:showPercent val="0"/>
              <c:showBubbleSize val="0"/>
            </c:dLbl>
            <c:dLbl>
              <c:idx val="19"/>
              <c:layout>
                <c:manualLayout>
                  <c:x val="0.13622291021671826"/>
                  <c:y val="0"/>
                </c:manualLayout>
              </c:layout>
              <c:showLegendKey val="0"/>
              <c:showVal val="1"/>
              <c:showCatName val="0"/>
              <c:showSerName val="0"/>
              <c:showPercent val="0"/>
              <c:showBubbleSize val="0"/>
            </c:dLbl>
            <c:dLbl>
              <c:idx val="20"/>
              <c:layout>
                <c:manualLayout>
                  <c:x val="0.17956656346749225"/>
                  <c:y val="-2.9665245222570858E-17"/>
                </c:manualLayout>
              </c:layout>
              <c:showLegendKey val="0"/>
              <c:showVal val="1"/>
              <c:showCatName val="0"/>
              <c:showSerName val="0"/>
              <c:showPercent val="0"/>
              <c:showBubbleSize val="0"/>
            </c:dLbl>
            <c:dLbl>
              <c:idx val="21"/>
              <c:layout>
                <c:manualLayout>
                  <c:x val="0.21878224974200206"/>
                  <c:y val="0"/>
                </c:manualLayout>
              </c:layout>
              <c:showLegendKey val="0"/>
              <c:showVal val="1"/>
              <c:showCatName val="0"/>
              <c:showSerName val="0"/>
              <c:showPercent val="0"/>
              <c:showBubbleSize val="0"/>
            </c:dLbl>
            <c:dLbl>
              <c:idx val="22"/>
              <c:layout>
                <c:manualLayout>
                  <c:x val="0.23942208462332301"/>
                  <c:y val="-3.236245954692571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Лист6!$L$2:$L$24</c:f>
              <c:strCache>
                <c:ptCount val="23"/>
                <c:pt idx="0">
                  <c:v>Муниципальное бюджетное учреждение культуры Верхнепышминский исторический музей</c:v>
                </c:pt>
                <c:pt idx="1">
                  <c:v>Муниципальное бюджетное  учреждение Специализированная похоронная служба городского округа Верхняя Пышма</c:v>
                </c:pt>
                <c:pt idx="2">
                  <c:v>Муниципальное бюджетное учреждение «Манин парк»</c:v>
                </c:pt>
                <c:pt idx="3">
                  <c:v>Муниципальное автономное учреждение  дополнительного образования Центр образования и профессиональной ориентации</c:v>
                </c:pt>
                <c:pt idx="4">
                  <c:v>Муниципальное автономное учреждение дополнительного образования Спортивная школа олимпийского резерва «Лидер»</c:v>
                </c:pt>
                <c:pt idx="5">
                  <c:v>Муниципальное автономное учреждение дополнительного образования Спортивная школа по автомотоспорту</c:v>
                </c:pt>
                <c:pt idx="6">
                  <c:v>Муниципальное бюджетное учреждение Центр пространственного развития городского округа Верхняя Пышма</c:v>
                </c:pt>
                <c:pt idx="7">
                  <c:v>Муниципальное бюджетное учреждение культуры Объединение сельских клубов «Луч»</c:v>
                </c:pt>
                <c:pt idx="8">
                  <c:v>Красненская поселковая администрация городского округа Верхняя Пышма</c:v>
                </c:pt>
                <c:pt idx="9">
                  <c:v>Исетская поселковая администрация городского округа Верхняя Пышма</c:v>
                </c:pt>
                <c:pt idx="10">
                  <c:v>Мостовская сельская администрация городского округа Верхняя Пышма</c:v>
                </c:pt>
                <c:pt idx="11">
                  <c:v>Муниципальное казенное учреждение Управление образования городского округа Верхняя Пышма</c:v>
                </c:pt>
                <c:pt idx="12">
                  <c:v>Комитет по управлению имуществом администрации городского округа Верхняя Пышма</c:v>
                </c:pt>
                <c:pt idx="13">
                  <c:v>Муниципальное бюджетное учреждение культуры Верхнепышминская централизованная библиотечная система</c:v>
                </c:pt>
                <c:pt idx="14">
                  <c:v>Балтымская сельская администрация ГО Верхняя Пышма</c:v>
                </c:pt>
                <c:pt idx="15">
                  <c:v>Муниципальное казенное учреждение Управление культуры городского округа Верхняя Пышма</c:v>
                </c:pt>
                <c:pt idx="16">
                  <c:v>Кедровская поселковая администрация городского округа Верхняя Пышма</c:v>
                </c:pt>
                <c:pt idx="17">
                  <c:v>Администрация городского округа Верхняя Пышма</c:v>
                </c:pt>
                <c:pt idx="18">
                  <c:v>Муниципальное бюджетное учреждение Дорожно-эксплуатационное управление городского округа Верхняя Пышма</c:v>
                </c:pt>
                <c:pt idx="19">
                  <c:v>Муниципальное казенное учреждение Управление физической культуры, спорта и молодежной политики городского округа Верхняя Пышма</c:v>
                </c:pt>
                <c:pt idx="20">
                  <c:v>Муниципальное казенное учреждение Управление гражданской защиты городского округа Верхняя Пышма</c:v>
                </c:pt>
                <c:pt idx="21">
                  <c:v>Муниципальное казенное учреждение Управление капитального строительства и жилищно-коммунального хозяйства городского округа Верхняя Пышма</c:v>
                </c:pt>
                <c:pt idx="22">
                  <c:v>Муниципальное казенное учреждение Административно-хозяйственное управление</c:v>
                </c:pt>
              </c:strCache>
            </c:strRef>
          </c:cat>
          <c:val>
            <c:numRef>
              <c:f>Лист6!$M$2:$M$24</c:f>
              <c:numCache>
                <c:formatCode>General</c:formatCode>
                <c:ptCount val="23"/>
                <c:pt idx="0">
                  <c:v>0</c:v>
                </c:pt>
                <c:pt idx="1">
                  <c:v>1</c:v>
                </c:pt>
                <c:pt idx="2">
                  <c:v>1</c:v>
                </c:pt>
                <c:pt idx="3" formatCode="#,##0.00">
                  <c:v>1</c:v>
                </c:pt>
                <c:pt idx="4" formatCode="#,##0.00">
                  <c:v>1</c:v>
                </c:pt>
                <c:pt idx="5" formatCode="#,##0">
                  <c:v>1</c:v>
                </c:pt>
                <c:pt idx="6">
                  <c:v>2</c:v>
                </c:pt>
                <c:pt idx="7">
                  <c:v>2</c:v>
                </c:pt>
                <c:pt idx="8">
                  <c:v>2</c:v>
                </c:pt>
                <c:pt idx="9">
                  <c:v>3</c:v>
                </c:pt>
                <c:pt idx="10">
                  <c:v>3</c:v>
                </c:pt>
                <c:pt idx="11">
                  <c:v>4</c:v>
                </c:pt>
                <c:pt idx="12">
                  <c:v>4</c:v>
                </c:pt>
                <c:pt idx="13">
                  <c:v>4</c:v>
                </c:pt>
                <c:pt idx="14">
                  <c:v>5</c:v>
                </c:pt>
                <c:pt idx="15">
                  <c:v>6</c:v>
                </c:pt>
                <c:pt idx="16">
                  <c:v>6</c:v>
                </c:pt>
                <c:pt idx="17">
                  <c:v>9</c:v>
                </c:pt>
                <c:pt idx="18">
                  <c:v>11</c:v>
                </c:pt>
                <c:pt idx="19">
                  <c:v>14</c:v>
                </c:pt>
                <c:pt idx="20">
                  <c:v>19</c:v>
                </c:pt>
                <c:pt idx="21">
                  <c:v>24</c:v>
                </c:pt>
                <c:pt idx="22">
                  <c:v>26</c:v>
                </c:pt>
              </c:numCache>
            </c:numRef>
          </c:val>
        </c:ser>
        <c:dLbls>
          <c:showLegendKey val="0"/>
          <c:showVal val="0"/>
          <c:showCatName val="0"/>
          <c:showSerName val="0"/>
          <c:showPercent val="0"/>
          <c:showBubbleSize val="0"/>
        </c:dLbls>
        <c:gapWidth val="150"/>
        <c:overlap val="100"/>
        <c:axId val="249455616"/>
        <c:axId val="197817984"/>
      </c:barChart>
      <c:catAx>
        <c:axId val="249455616"/>
        <c:scaling>
          <c:orientation val="minMax"/>
        </c:scaling>
        <c:delete val="0"/>
        <c:axPos val="l"/>
        <c:majorGridlines/>
        <c:majorTickMark val="out"/>
        <c:minorTickMark val="none"/>
        <c:tickLblPos val="nextTo"/>
        <c:spPr>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1"/>
            <a:tileRect/>
          </a:gradFill>
        </c:spPr>
        <c:txPr>
          <a:bodyPr/>
          <a:lstStyle/>
          <a:p>
            <a:pPr>
              <a:defRPr sz="800" baseline="0"/>
            </a:pPr>
            <a:endParaRPr lang="ru-RU"/>
          </a:p>
        </c:txPr>
        <c:crossAx val="197817984"/>
        <c:crosses val="autoZero"/>
        <c:auto val="1"/>
        <c:lblAlgn val="ctr"/>
        <c:lblOffset val="100"/>
        <c:noMultiLvlLbl val="0"/>
      </c:catAx>
      <c:valAx>
        <c:axId val="197817984"/>
        <c:scaling>
          <c:orientation val="minMax"/>
        </c:scaling>
        <c:delete val="0"/>
        <c:axPos val="b"/>
        <c:numFmt formatCode="General" sourceLinked="1"/>
        <c:majorTickMark val="out"/>
        <c:minorTickMark val="none"/>
        <c:tickLblPos val="nextTo"/>
        <c:crossAx val="249455616"/>
        <c:crosses val="autoZero"/>
        <c:crossBetween val="between"/>
      </c:valAx>
    </c:plotArea>
    <c:plotVisOnly val="1"/>
    <c:dispBlanksAs val="gap"/>
    <c:showDLblsOverMax val="0"/>
  </c:chart>
  <c:spPr>
    <a:solidFill>
      <a:srgbClr val="EEECE1"/>
    </a:solidFill>
    <a:ln>
      <a:solidFill>
        <a:sysClr val="windowText" lastClr="000000"/>
      </a:solidFill>
    </a:ln>
    <a:effectLst/>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Сумма</a:t>
            </a:r>
            <a:r>
              <a:rPr lang="ru-RU" sz="1400" baseline="0">
                <a:latin typeface="Times New Roman" panose="02020603050405020304" pitchFamily="18" charset="0"/>
                <a:cs typeface="Times New Roman" panose="02020603050405020304" pitchFamily="18" charset="0"/>
              </a:rPr>
              <a:t> заключенных контрактов в разрезе муниципальных заказчиков. млн. руб.</a:t>
            </a:r>
            <a:endParaRPr lang="ru-RU" sz="1400">
              <a:latin typeface="Times New Roman" panose="02020603050405020304" pitchFamily="18" charset="0"/>
              <a:cs typeface="Times New Roman" panose="02020603050405020304" pitchFamily="18" charset="0"/>
            </a:endParaRPr>
          </a:p>
        </c:rich>
      </c:tx>
      <c:layout>
        <c:manualLayout>
          <c:xMode val="edge"/>
          <c:yMode val="edge"/>
          <c:x val="0.14325396825396824"/>
          <c:y val="0"/>
        </c:manualLayout>
      </c:layout>
      <c:overlay val="1"/>
    </c:title>
    <c:autoTitleDeleted val="0"/>
    <c:plotArea>
      <c:layout>
        <c:manualLayout>
          <c:layoutTarget val="inner"/>
          <c:xMode val="edge"/>
          <c:yMode val="edge"/>
          <c:x val="0.42610189351331085"/>
          <c:y val="5.3730629239832038E-2"/>
          <c:w val="0.50953052743407079"/>
          <c:h val="0.90582968534483754"/>
        </c:manualLayout>
      </c:layout>
      <c:barChart>
        <c:barDir val="bar"/>
        <c:grouping val="stacked"/>
        <c:varyColors val="0"/>
        <c:ser>
          <c:idx val="0"/>
          <c:order val="0"/>
          <c:tx>
            <c:strRef>
              <c:f>Лист7!$N$1</c:f>
              <c:strCache>
                <c:ptCount val="1"/>
              </c:strCache>
            </c:strRef>
          </c:tx>
          <c:invertIfNegative val="0"/>
          <c:dLbls>
            <c:dLbl>
              <c:idx val="0"/>
              <c:layout>
                <c:manualLayout>
                  <c:x val="1.8154311649016642E-2"/>
                  <c:y val="0"/>
                </c:manualLayout>
              </c:layout>
              <c:tx>
                <c:rich>
                  <a:bodyPr/>
                  <a:lstStyle/>
                  <a:p>
                    <a:r>
                      <a:rPr lang="en-US"/>
                      <a:t>0</a:t>
                    </a:r>
                  </a:p>
                </c:rich>
              </c:tx>
              <c:dLblPos val="ctr"/>
              <c:showLegendKey val="0"/>
              <c:showVal val="1"/>
              <c:showCatName val="0"/>
              <c:showSerName val="0"/>
              <c:showPercent val="0"/>
              <c:showBubbleSize val="0"/>
            </c:dLbl>
            <c:dLbl>
              <c:idx val="1"/>
              <c:layout>
                <c:manualLayout>
                  <c:x val="2.16933700231496E-2"/>
                  <c:y val="-1.0804049530783818E-16"/>
                </c:manualLayout>
              </c:layout>
              <c:dLblPos val="ctr"/>
              <c:showLegendKey val="0"/>
              <c:showVal val="1"/>
              <c:showCatName val="0"/>
              <c:showSerName val="0"/>
              <c:showPercent val="0"/>
              <c:showBubbleSize val="0"/>
            </c:dLbl>
            <c:dLbl>
              <c:idx val="2"/>
              <c:layout>
                <c:manualLayout>
                  <c:x val="2.1726406740761036E-2"/>
                  <c:y val="0"/>
                </c:manualLayout>
              </c:layout>
              <c:dLblPos val="ctr"/>
              <c:showLegendKey val="0"/>
              <c:showVal val="1"/>
              <c:showCatName val="0"/>
              <c:showSerName val="0"/>
              <c:showPercent val="0"/>
              <c:showBubbleSize val="0"/>
            </c:dLbl>
            <c:dLbl>
              <c:idx val="3"/>
              <c:layout>
                <c:manualLayout>
                  <c:x val="2.7777777777777776E-2"/>
                  <c:y val="-1.750700953511075E-16"/>
                </c:manualLayout>
              </c:layout>
              <c:dLblPos val="ctr"/>
              <c:showLegendKey val="0"/>
              <c:showVal val="1"/>
              <c:showCatName val="0"/>
              <c:showSerName val="0"/>
              <c:showPercent val="0"/>
              <c:showBubbleSize val="0"/>
            </c:dLbl>
            <c:dLbl>
              <c:idx val="4"/>
              <c:layout>
                <c:manualLayout>
                  <c:x val="2.1825396825396824E-2"/>
                  <c:y val="-3.5811145809100651E-3"/>
                </c:manualLayout>
              </c:layout>
              <c:dLblPos val="ctr"/>
              <c:showLegendKey val="0"/>
              <c:showVal val="1"/>
              <c:showCatName val="0"/>
              <c:showSerName val="0"/>
              <c:showPercent val="0"/>
              <c:showBubbleSize val="0"/>
            </c:dLbl>
            <c:dLbl>
              <c:idx val="5"/>
              <c:layout>
                <c:manualLayout>
                  <c:x val="2.7751531058617673E-2"/>
                  <c:y val="1.1936879983025378E-3"/>
                </c:manualLayout>
              </c:layout>
              <c:dLblPos val="ctr"/>
              <c:showLegendKey val="0"/>
              <c:showVal val="1"/>
              <c:showCatName val="0"/>
              <c:showSerName val="0"/>
              <c:showPercent val="0"/>
              <c:showBubbleSize val="0"/>
            </c:dLbl>
            <c:dLbl>
              <c:idx val="6"/>
              <c:layout>
                <c:manualLayout>
                  <c:x val="2.7777739236339877E-2"/>
                  <c:y val="0"/>
                </c:manualLayout>
              </c:layout>
              <c:dLblPos val="ctr"/>
              <c:showLegendKey val="0"/>
              <c:showVal val="1"/>
              <c:showCatName val="0"/>
              <c:showSerName val="0"/>
              <c:showPercent val="0"/>
              <c:showBubbleSize val="0"/>
            </c:dLbl>
            <c:dLbl>
              <c:idx val="7"/>
              <c:layout>
                <c:manualLayout>
                  <c:x val="2.5793650793650792E-2"/>
                  <c:y val="1.1936735302894659E-3"/>
                </c:manualLayout>
              </c:layout>
              <c:dLblPos val="ctr"/>
              <c:showLegendKey val="0"/>
              <c:showVal val="1"/>
              <c:showCatName val="0"/>
              <c:showSerName val="0"/>
              <c:showPercent val="0"/>
              <c:showBubbleSize val="0"/>
            </c:dLbl>
            <c:dLbl>
              <c:idx val="8"/>
              <c:layout>
                <c:manualLayout>
                  <c:x val="2.3809523809523808E-2"/>
                  <c:y val="-1.1936735302894659E-3"/>
                </c:manualLayout>
              </c:layout>
              <c:dLblPos val="ctr"/>
              <c:showLegendKey val="0"/>
              <c:showVal val="1"/>
              <c:showCatName val="0"/>
              <c:showSerName val="0"/>
              <c:showPercent val="0"/>
              <c:showBubbleSize val="0"/>
            </c:dLbl>
            <c:dLbl>
              <c:idx val="9"/>
              <c:layout>
                <c:manualLayout>
                  <c:x val="2.9761904761904691E-2"/>
                  <c:y val="0"/>
                </c:manualLayout>
              </c:layout>
              <c:dLblPos val="ctr"/>
              <c:showLegendKey val="0"/>
              <c:showVal val="1"/>
              <c:showCatName val="0"/>
              <c:showSerName val="0"/>
              <c:showPercent val="0"/>
              <c:showBubbleSize val="0"/>
            </c:dLbl>
            <c:dLbl>
              <c:idx val="10"/>
              <c:layout>
                <c:manualLayout>
                  <c:x val="2.3809523809523808E-2"/>
                  <c:y val="0"/>
                </c:manualLayout>
              </c:layout>
              <c:dLblPos val="ctr"/>
              <c:showLegendKey val="0"/>
              <c:showVal val="1"/>
              <c:showCatName val="0"/>
              <c:showSerName val="0"/>
              <c:showPercent val="0"/>
              <c:showBubbleSize val="0"/>
            </c:dLbl>
            <c:dLbl>
              <c:idx val="11"/>
              <c:layout>
                <c:manualLayout>
                  <c:x val="2.7777777777777776E-2"/>
                  <c:y val="1.1936735302894659E-3"/>
                </c:manualLayout>
              </c:layout>
              <c:dLblPos val="ctr"/>
              <c:showLegendKey val="0"/>
              <c:showVal val="1"/>
              <c:showCatName val="0"/>
              <c:showSerName val="0"/>
              <c:showPercent val="0"/>
              <c:showBubbleSize val="0"/>
            </c:dLbl>
            <c:dLbl>
              <c:idx val="12"/>
              <c:layout>
                <c:manualLayout>
                  <c:x val="2.7777777777777776E-2"/>
                  <c:y val="-2.3873470605789318E-3"/>
                </c:manualLayout>
              </c:layout>
              <c:dLblPos val="ctr"/>
              <c:showLegendKey val="0"/>
              <c:showVal val="1"/>
              <c:showCatName val="0"/>
              <c:showSerName val="0"/>
              <c:showPercent val="0"/>
              <c:showBubbleSize val="0"/>
            </c:dLbl>
            <c:dLbl>
              <c:idx val="13"/>
              <c:layout>
                <c:manualLayout>
                  <c:x val="2.9761904761904691E-2"/>
                  <c:y val="-8.7535047675553752E-17"/>
                </c:manualLayout>
              </c:layout>
              <c:dLblPos val="ctr"/>
              <c:showLegendKey val="0"/>
              <c:showVal val="1"/>
              <c:showCatName val="0"/>
              <c:showSerName val="0"/>
              <c:showPercent val="0"/>
              <c:showBubbleSize val="0"/>
            </c:dLbl>
            <c:dLbl>
              <c:idx val="14"/>
              <c:layout>
                <c:manualLayout>
                  <c:x val="3.5714285714285712E-2"/>
                  <c:y val="-4.3767523837776876E-17"/>
                </c:manualLayout>
              </c:layout>
              <c:dLblPos val="ctr"/>
              <c:showLegendKey val="0"/>
              <c:showVal val="1"/>
              <c:showCatName val="0"/>
              <c:showSerName val="0"/>
              <c:showPercent val="0"/>
              <c:showBubbleSize val="0"/>
            </c:dLbl>
            <c:dLbl>
              <c:idx val="15"/>
              <c:layout>
                <c:manualLayout>
                  <c:x val="3.5714285714285643E-2"/>
                  <c:y val="0"/>
                </c:manualLayout>
              </c:layout>
              <c:dLblPos val="ctr"/>
              <c:showLegendKey val="0"/>
              <c:showVal val="1"/>
              <c:showCatName val="0"/>
              <c:showSerName val="0"/>
              <c:showPercent val="0"/>
              <c:showBubbleSize val="0"/>
            </c:dLbl>
            <c:dLbl>
              <c:idx val="16"/>
              <c:layout>
                <c:manualLayout>
                  <c:x val="3.1746031746031744E-2"/>
                  <c:y val="-4.3767523837776876E-17"/>
                </c:manualLayout>
              </c:layout>
              <c:dLblPos val="ctr"/>
              <c:showLegendKey val="0"/>
              <c:showVal val="1"/>
              <c:showCatName val="0"/>
              <c:showSerName val="0"/>
              <c:showPercent val="0"/>
              <c:showBubbleSize val="0"/>
            </c:dLbl>
            <c:dLbl>
              <c:idx val="17"/>
              <c:layout>
                <c:manualLayout>
                  <c:x val="3.7698412698412696E-2"/>
                  <c:y val="0"/>
                </c:manualLayout>
              </c:layout>
              <c:dLblPos val="ctr"/>
              <c:showLegendKey val="0"/>
              <c:showVal val="1"/>
              <c:showCatName val="0"/>
              <c:showSerName val="0"/>
              <c:showPercent val="0"/>
              <c:showBubbleSize val="0"/>
            </c:dLbl>
            <c:dLbl>
              <c:idx val="18"/>
              <c:layout>
                <c:manualLayout>
                  <c:x val="4.1666666666666664E-2"/>
                  <c:y val="0"/>
                </c:manualLayout>
              </c:layout>
              <c:dLblPos val="ctr"/>
              <c:showLegendKey val="0"/>
              <c:showVal val="1"/>
              <c:showCatName val="0"/>
              <c:showSerName val="0"/>
              <c:showPercent val="0"/>
              <c:showBubbleSize val="0"/>
            </c:dLbl>
            <c:dLbl>
              <c:idx val="19"/>
              <c:layout>
                <c:manualLayout>
                  <c:x val="4.7619047619047616E-2"/>
                  <c:y val="-4.3767523837776876E-17"/>
                </c:manualLayout>
              </c:layout>
              <c:dLblPos val="ctr"/>
              <c:showLegendKey val="0"/>
              <c:showVal val="1"/>
              <c:showCatName val="0"/>
              <c:showSerName val="0"/>
              <c:showPercent val="0"/>
              <c:showBubbleSize val="0"/>
            </c:dLbl>
            <c:dLbl>
              <c:idx val="20"/>
              <c:layout>
                <c:manualLayout>
                  <c:x val="4.3650793650793648E-2"/>
                  <c:y val="0"/>
                </c:manualLayout>
              </c:layout>
              <c:dLblPos val="ctr"/>
              <c:showLegendKey val="0"/>
              <c:showVal val="1"/>
              <c:showCatName val="0"/>
              <c:showSerName val="0"/>
              <c:showPercent val="0"/>
              <c:showBubbleSize val="0"/>
            </c:dLbl>
            <c:dLbl>
              <c:idx val="21"/>
              <c:layout>
                <c:manualLayout>
                  <c:x val="4.7619047619047616E-2"/>
                  <c:y val="0"/>
                </c:manualLayout>
              </c:layout>
              <c:dLblPos val="ctr"/>
              <c:showLegendKey val="0"/>
              <c:showVal val="1"/>
              <c:showCatName val="0"/>
              <c:showSerName val="0"/>
              <c:showPercent val="0"/>
              <c:showBubbleSize val="0"/>
            </c:dLbl>
            <c:dLblPos val="ctr"/>
            <c:showLegendKey val="0"/>
            <c:showVal val="1"/>
            <c:showCatName val="0"/>
            <c:showSerName val="0"/>
            <c:showPercent val="0"/>
            <c:showBubbleSize val="0"/>
            <c:showLeaderLines val="0"/>
          </c:dLbls>
          <c:cat>
            <c:strRef>
              <c:f>Лист7!$M$2:$M$24</c:f>
              <c:strCache>
                <c:ptCount val="23"/>
                <c:pt idx="0">
                  <c:v>Муниципальное бюджетное учреждение культуры Верхнепышминский исторический музей</c:v>
                </c:pt>
                <c:pt idx="1">
                  <c:v>Муниципальное казенное учреждение Управление культуры городского округа Верхняя Пышма</c:v>
                </c:pt>
                <c:pt idx="2">
                  <c:v>Муниципальное бюджетное учреждение Центр пространственного развития городского округа Верхняя Пышма</c:v>
                </c:pt>
                <c:pt idx="3">
                  <c:v>Комитет по управлению имуществом администрации городского округа Верхняя Пышма</c:v>
                </c:pt>
                <c:pt idx="4">
                  <c:v>Муниципальное казенное учреждение Управление образования городского округа Верхняя Пышма</c:v>
                </c:pt>
                <c:pt idx="5">
                  <c:v>Исетская поселковая администрация городского округа Верхняя Пышма</c:v>
                </c:pt>
                <c:pt idx="6">
                  <c:v>Муниципальное бюджетное учреждение культуры Объединение сельских клубов «Луч»</c:v>
                </c:pt>
                <c:pt idx="7">
                  <c:v>Муниципальное бюджетное  учреждение Специализированная похоронная служба городского округа Верхняя Пышма</c:v>
                </c:pt>
                <c:pt idx="8">
                  <c:v>Муниципальное бюджетное учреждение «Манин парк»</c:v>
                </c:pt>
                <c:pt idx="9">
                  <c:v>Муниципальное бюджетное учреждение культуры Верхнепышминская централизованная библиотечная система</c:v>
                </c:pt>
                <c:pt idx="10">
                  <c:v>Муниципальное казенное учреждение Управление физической культуры, спорта и молодежной политики городского округа Верхняя Пышма</c:v>
                </c:pt>
                <c:pt idx="11">
                  <c:v>Мостовская сельская администрация городского округа Верхняя Пышма</c:v>
                </c:pt>
                <c:pt idx="12">
                  <c:v>Муниципальное бюджетное учреждение Дорожно-эксплуатационное управление городского округа Верхняя Пышма</c:v>
                </c:pt>
                <c:pt idx="13">
                  <c:v>Кедровская поселковая администрация городского округа Верхняя Пышма</c:v>
                </c:pt>
                <c:pt idx="14">
                  <c:v>Муниципальное казенное учреждение Управление гражданской защиты городского округа Верхняя Пышма</c:v>
                </c:pt>
                <c:pt idx="15">
                  <c:v>Красненская поселковая администрация городского округа Верхняя Пышма</c:v>
                </c:pt>
                <c:pt idx="16">
                  <c:v>Администрация городского округа Верхняя Пышма</c:v>
                </c:pt>
                <c:pt idx="17">
                  <c:v>Балтымская сельская администрация ГО Верхняя Пышма</c:v>
                </c:pt>
                <c:pt idx="18">
                  <c:v>Муниципальное автономное учреждение  дополнительного образования Центр образования и профессиональной ориентации</c:v>
                </c:pt>
                <c:pt idx="19">
                  <c:v>Муниципальное казенное учреждение Административно-хозяйственное управление</c:v>
                </c:pt>
                <c:pt idx="20">
                  <c:v>Муниципальное автономное учреждение дополнительного образования Спортивная школа олимпийского резерва «Лидер»</c:v>
                </c:pt>
                <c:pt idx="21">
                  <c:v>Муниципальное автономное учреждение дополнительного образования Спортивная школа по автомотоспорту</c:v>
                </c:pt>
                <c:pt idx="22">
                  <c:v>Муниципальное казенное учреждение Управление капитального строительства и жилищно-коммунального хозяйства городского округа Верхняя Пышма</c:v>
                </c:pt>
              </c:strCache>
            </c:strRef>
          </c:cat>
          <c:val>
            <c:numRef>
              <c:f>Лист7!$N$2:$N$24</c:f>
              <c:numCache>
                <c:formatCode>#,##0.0</c:formatCode>
                <c:ptCount val="23"/>
                <c:pt idx="0">
                  <c:v>0</c:v>
                </c:pt>
                <c:pt idx="1">
                  <c:v>0.75664659999999995</c:v>
                </c:pt>
                <c:pt idx="2">
                  <c:v>0.84392</c:v>
                </c:pt>
                <c:pt idx="3">
                  <c:v>0.90883000000000003</c:v>
                </c:pt>
                <c:pt idx="4">
                  <c:v>1.1307464700000001</c:v>
                </c:pt>
                <c:pt idx="5">
                  <c:v>1.9655117499999999</c:v>
                </c:pt>
                <c:pt idx="6">
                  <c:v>2.1987839999999998</c:v>
                </c:pt>
                <c:pt idx="7">
                  <c:v>2.73</c:v>
                </c:pt>
                <c:pt idx="8">
                  <c:v>3.3999971600000003</c:v>
                </c:pt>
                <c:pt idx="9">
                  <c:v>3.9522574700000002</c:v>
                </c:pt>
                <c:pt idx="10">
                  <c:v>4.2601483399999998</c:v>
                </c:pt>
                <c:pt idx="11">
                  <c:v>7.5732431900000003</c:v>
                </c:pt>
                <c:pt idx="12">
                  <c:v>8.0416459099999997</c:v>
                </c:pt>
                <c:pt idx="13">
                  <c:v>9.406721189999999</c:v>
                </c:pt>
                <c:pt idx="14">
                  <c:v>10.65251707</c:v>
                </c:pt>
                <c:pt idx="15">
                  <c:v>14.35915722</c:v>
                </c:pt>
                <c:pt idx="16">
                  <c:v>14.3839688</c:v>
                </c:pt>
                <c:pt idx="17">
                  <c:v>21.316235969999997</c:v>
                </c:pt>
                <c:pt idx="18">
                  <c:v>22.551485149999998</c:v>
                </c:pt>
                <c:pt idx="19">
                  <c:v>29.118051399999999</c:v>
                </c:pt>
                <c:pt idx="20">
                  <c:v>37.0400116</c:v>
                </c:pt>
                <c:pt idx="21">
                  <c:v>42.764025909999994</c:v>
                </c:pt>
                <c:pt idx="22">
                  <c:v>852.61285009000005</c:v>
                </c:pt>
              </c:numCache>
            </c:numRef>
          </c:val>
        </c:ser>
        <c:dLbls>
          <c:dLblPos val="ctr"/>
          <c:showLegendKey val="0"/>
          <c:showVal val="1"/>
          <c:showCatName val="0"/>
          <c:showSerName val="0"/>
          <c:showPercent val="0"/>
          <c:showBubbleSize val="0"/>
        </c:dLbls>
        <c:gapWidth val="150"/>
        <c:overlap val="100"/>
        <c:axId val="249456640"/>
        <c:axId val="146175040"/>
      </c:barChart>
      <c:catAx>
        <c:axId val="249456640"/>
        <c:scaling>
          <c:orientation val="minMax"/>
        </c:scaling>
        <c:delete val="0"/>
        <c:axPos val="l"/>
        <c:majorGridlines/>
        <c:majorTickMark val="out"/>
        <c:minorTickMark val="none"/>
        <c:tickLblPos val="nextTo"/>
        <c:spPr>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1"/>
            <a:tileRect/>
          </a:gradFill>
        </c:spPr>
        <c:txPr>
          <a:bodyPr/>
          <a:lstStyle/>
          <a:p>
            <a:pPr>
              <a:defRPr sz="800"/>
            </a:pPr>
            <a:endParaRPr lang="ru-RU"/>
          </a:p>
        </c:txPr>
        <c:crossAx val="146175040"/>
        <c:crosses val="autoZero"/>
        <c:auto val="1"/>
        <c:lblAlgn val="ctr"/>
        <c:lblOffset val="100"/>
        <c:noMultiLvlLbl val="0"/>
      </c:catAx>
      <c:valAx>
        <c:axId val="146175040"/>
        <c:scaling>
          <c:orientation val="minMax"/>
          <c:max val="900"/>
          <c:min val="0"/>
        </c:scaling>
        <c:delete val="0"/>
        <c:axPos val="b"/>
        <c:numFmt formatCode="#,##0.0" sourceLinked="1"/>
        <c:majorTickMark val="out"/>
        <c:minorTickMark val="none"/>
        <c:tickLblPos val="nextTo"/>
        <c:crossAx val="249456640"/>
        <c:crosses val="autoZero"/>
        <c:crossBetween val="between"/>
      </c:valAx>
    </c:plotArea>
    <c:plotVisOnly val="1"/>
    <c:dispBlanksAs val="gap"/>
    <c:showDLblsOverMax val="0"/>
  </c:chart>
  <c:spPr>
    <a:solidFill>
      <a:srgbClr val="EEECE1"/>
    </a:solidFill>
    <a:ln>
      <a:solidFill>
        <a:sysClr val="windowText" lastClr="000000"/>
      </a:solidFill>
    </a:ln>
    <a:effectLst/>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AC7A-DA88-49DC-AD23-A5C949FF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3771</TotalTime>
  <Pages>17</Pages>
  <Words>2574</Words>
  <Characters>14673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Ковыльченко Милана Игоревна</dc:creator>
  <cp:lastModifiedBy>Кислова Татьяна Николаевна</cp:lastModifiedBy>
  <cp:revision>658</cp:revision>
  <cp:lastPrinted>2024-07-12T10:58:00Z</cp:lastPrinted>
  <dcterms:created xsi:type="dcterms:W3CDTF">2023-03-31T07:02:00Z</dcterms:created>
  <dcterms:modified xsi:type="dcterms:W3CDTF">2024-07-22T07:00:00Z</dcterms:modified>
</cp:coreProperties>
</file>