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7A" w:rsidRPr="0065313B" w:rsidRDefault="0015349E" w:rsidP="00866DF2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Аналитический отчет за 1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</w:t>
      </w:r>
      <w:r w:rsidR="009D7549">
        <w:rPr>
          <w:rFonts w:eastAsia="Times New Roman" w:cs="Times New Roman"/>
          <w:b/>
          <w:szCs w:val="28"/>
          <w:lang w:eastAsia="ru-RU"/>
        </w:rPr>
        <w:t>полугодие</w:t>
      </w:r>
      <w:r>
        <w:rPr>
          <w:rFonts w:eastAsia="Times New Roman" w:cs="Times New Roman"/>
          <w:b/>
          <w:szCs w:val="28"/>
          <w:lang w:eastAsia="ru-RU"/>
        </w:rPr>
        <w:t xml:space="preserve"> 2023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года </w:t>
      </w:r>
      <w:bookmarkStart w:id="0" w:name="_GoBack"/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по результатам осуществления закупок товаров, работ, услуг </w:t>
      </w:r>
      <w:bookmarkEnd w:id="0"/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для заказчиков, переданных в уполномоченный орган Администрации городского округа </w:t>
      </w:r>
      <w:r w:rsidR="00556977">
        <w:rPr>
          <w:rFonts w:eastAsia="Times New Roman" w:cs="Times New Roman"/>
          <w:b/>
          <w:szCs w:val="28"/>
          <w:lang w:eastAsia="ru-RU"/>
        </w:rPr>
        <w:t>Верхняя Пышма</w:t>
      </w:r>
      <w:r w:rsidR="00C550C7">
        <w:rPr>
          <w:rFonts w:eastAsia="Times New Roman" w:cs="Times New Roman"/>
          <w:b/>
          <w:szCs w:val="28"/>
          <w:lang w:eastAsia="ru-RU"/>
        </w:rPr>
        <w:t xml:space="preserve"> – отдел муниципального заказа комитета экономики и муниципального заказа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для нужд городского округа </w:t>
      </w:r>
      <w:r w:rsidR="00556977">
        <w:rPr>
          <w:rFonts w:eastAsia="Times New Roman" w:cs="Times New Roman"/>
          <w:b/>
          <w:szCs w:val="28"/>
          <w:lang w:eastAsia="ru-RU"/>
        </w:rPr>
        <w:t>Верхняя Пышма</w:t>
      </w:r>
    </w:p>
    <w:p w:rsidR="00864A9C" w:rsidRDefault="00864A9C" w:rsidP="00D7297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102C8" w:rsidRDefault="004102C8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eastAsia="Times New Roman" w:cs="Times New Roman"/>
          <w:b/>
          <w:sz w:val="28"/>
          <w:szCs w:val="28"/>
          <w:lang w:eastAsia="ru-RU"/>
        </w:rPr>
        <w:t>ОСУЩЕСТВЛЕНИЕ ЗАКУПОК</w:t>
      </w:r>
    </w:p>
    <w:p w:rsidR="007209D1" w:rsidRPr="004102C8" w:rsidRDefault="007209D1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14B72" w:rsidRDefault="00864A9C" w:rsidP="00E31CE3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З</w:t>
      </w:r>
      <w:r w:rsidR="00C550C7">
        <w:rPr>
          <w:rFonts w:eastAsia="Times New Roman" w:cs="Times New Roman"/>
          <w:sz w:val="28"/>
          <w:szCs w:val="28"/>
          <w:lang w:eastAsia="ru-RU"/>
        </w:rPr>
        <w:t>а отчетный период уполномоченным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орган</w:t>
      </w:r>
      <w:r w:rsidR="00C550C7">
        <w:rPr>
          <w:rFonts w:eastAsia="Times New Roman" w:cs="Times New Roman"/>
          <w:sz w:val="28"/>
          <w:szCs w:val="28"/>
          <w:lang w:eastAsia="ru-RU"/>
        </w:rPr>
        <w:t>ом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осуществлял</w:t>
      </w:r>
      <w:r w:rsidR="00C550C7">
        <w:rPr>
          <w:rFonts w:eastAsia="Times New Roman" w:cs="Times New Roman"/>
          <w:sz w:val="28"/>
          <w:szCs w:val="28"/>
          <w:lang w:eastAsia="ru-RU"/>
        </w:rPr>
        <w:t>ось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определение поставщиков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 w:rsidRPr="001D0E49">
        <w:rPr>
          <w:rFonts w:eastAsia="Times New Roman" w:cs="Times New Roman"/>
          <w:sz w:val="28"/>
          <w:szCs w:val="28"/>
          <w:lang w:eastAsia="ru-RU"/>
        </w:rPr>
        <w:t>подрядчиков, исполнителей</w:t>
      </w:r>
      <w:r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4917D2">
        <w:rPr>
          <w:rFonts w:eastAsia="Times New Roman" w:cs="Times New Roman"/>
          <w:sz w:val="28"/>
          <w:szCs w:val="28"/>
          <w:lang w:eastAsia="ru-RU"/>
        </w:rPr>
        <w:t xml:space="preserve">для </w:t>
      </w:r>
      <w:r w:rsidR="00C555AE">
        <w:rPr>
          <w:rFonts w:eastAsia="Times New Roman" w:cs="Times New Roman"/>
          <w:sz w:val="28"/>
          <w:szCs w:val="28"/>
          <w:lang w:eastAsia="ru-RU"/>
        </w:rPr>
        <w:t>20 заказчика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в соответствии </w:t>
      </w:r>
      <w:r w:rsidR="004E1EF1" w:rsidRPr="00A73803">
        <w:rPr>
          <w:rFonts w:eastAsia="Times New Roman" w:cs="Times New Roman"/>
          <w:sz w:val="28"/>
          <w:szCs w:val="28"/>
          <w:lang w:eastAsia="ru-RU"/>
        </w:rPr>
        <w:t>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4E1EF1">
        <w:rPr>
          <w:rFonts w:eastAsia="Times New Roman" w:cs="Times New Roman"/>
          <w:sz w:val="28"/>
          <w:szCs w:val="28"/>
          <w:lang w:eastAsia="ru-RU"/>
        </w:rPr>
        <w:t>» (далее – Закон о контрактной системе) осуществлялось</w:t>
      </w:r>
      <w:r w:rsidR="004917D2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="004E1EF1">
        <w:rPr>
          <w:rFonts w:eastAsia="Times New Roman" w:cs="Times New Roman"/>
          <w:sz w:val="28"/>
          <w:szCs w:val="28"/>
          <w:lang w:eastAsia="ru-RU"/>
        </w:rPr>
        <w:t>1 заказчика</w:t>
      </w:r>
      <w:r w:rsidR="00474AE6">
        <w:rPr>
          <w:rFonts w:eastAsia="Times New Roman" w:cs="Times New Roman"/>
          <w:sz w:val="28"/>
          <w:szCs w:val="28"/>
          <w:lang w:eastAsia="ru-RU"/>
        </w:rPr>
        <w:t>,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проводившего закупку </w:t>
      </w:r>
      <w:r w:rsidR="00474AE6">
        <w:rPr>
          <w:rFonts w:eastAsia="Times New Roman" w:cs="Times New Roman"/>
          <w:sz w:val="28"/>
          <w:szCs w:val="28"/>
          <w:lang w:eastAsia="ru-RU"/>
        </w:rPr>
        <w:t xml:space="preserve">в соответствии с </w:t>
      </w:r>
      <w:r w:rsidR="004E1EF1">
        <w:rPr>
          <w:rFonts w:eastAsia="Times New Roman" w:cs="Times New Roman"/>
          <w:sz w:val="28"/>
          <w:szCs w:val="28"/>
          <w:lang w:eastAsia="ru-RU"/>
        </w:rPr>
        <w:t>ч. 4 ст. 15 Закон о контрактной системе</w:t>
      </w:r>
      <w:r w:rsidRPr="001D0E49">
        <w:rPr>
          <w:rFonts w:eastAsia="Times New Roman" w:cs="Times New Roman"/>
          <w:sz w:val="28"/>
          <w:szCs w:val="28"/>
          <w:lang w:eastAsia="ru-RU"/>
        </w:rPr>
        <w:t>:</w:t>
      </w:r>
    </w:p>
    <w:p w:rsidR="00275CA4" w:rsidRDefault="00275CA4" w:rsidP="00864A9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66776" w:rsidRPr="00275CA4" w:rsidRDefault="00275CA4" w:rsidP="00275CA4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№1</w:t>
      </w:r>
    </w:p>
    <w:tbl>
      <w:tblPr>
        <w:tblStyle w:val="ac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417"/>
        <w:gridCol w:w="2410"/>
      </w:tblGrid>
      <w:tr w:rsidR="000C66B9" w:rsidRPr="00CC0EB9" w:rsidTr="00556977">
        <w:trPr>
          <w:trHeight w:val="676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опубликованных процедур, шт.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9068D2"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начальных максимальных цен</w:t>
            </w: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опубликованных процедур, руб.</w:t>
            </w:r>
          </w:p>
        </w:tc>
      </w:tr>
      <w:tr w:rsidR="000C66B9" w:rsidRPr="00CC0EB9" w:rsidTr="00556977">
        <w:trPr>
          <w:trHeight w:val="25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0EB9" w:rsidRPr="00CC0EB9" w:rsidTr="00CC0EB9">
        <w:trPr>
          <w:trHeight w:val="316"/>
        </w:trPr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Верхнепышминская централизованная библиотечная система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594 500,00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652 000,00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Спортивная школа имени Александра Козицына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1 623 149,98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Верхнепышминский исторический музей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4 642 332,64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Исетская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2 170 434,08</w:t>
            </w:r>
          </w:p>
        </w:tc>
      </w:tr>
      <w:tr w:rsidR="00CC0EB9" w:rsidRPr="00CC0EB9" w:rsidTr="00CC0EB9">
        <w:trPr>
          <w:trHeight w:val="368"/>
        </w:trPr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Центр пространственного развития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731 050,96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Объединение сельских клубов «Луч»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1 358 355,00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Балтымская сельская администрация ГО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13 540 323,43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Верхнепышминский парк культуры и отдыха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57 695 606,37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Мостовская сельская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11 518 400,00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Красненская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31 634 308,59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культуры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1 160 960,00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Кедровская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21 345 295,44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образования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41 518 280,88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39 246 259,33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Дорожно-эксплуатационное управление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50 416 060,56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гражданской защиты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11 513 153,92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капитального строительства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1 231 218 265,41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физической культуры, спорта и молодежной политики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5 158 460,39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казённое учреждение Комитет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368 081 919,41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Административно-хозяйственное управление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24 907 646,59</w:t>
            </w:r>
          </w:p>
        </w:tc>
      </w:tr>
      <w:tr w:rsidR="00CC0EB9" w:rsidRPr="00CC0EB9" w:rsidTr="00556977">
        <w:tc>
          <w:tcPr>
            <w:tcW w:w="6663" w:type="dxa"/>
            <w:gridSpan w:val="2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CC0EB9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CC0EB9" w:rsidRPr="00CC0EB9" w:rsidRDefault="001C540F" w:rsidP="00F02E0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2410" w:type="dxa"/>
            <w:vAlign w:val="center"/>
          </w:tcPr>
          <w:p w:rsidR="00CC0EB9" w:rsidRPr="00CC0EB9" w:rsidRDefault="001C540F" w:rsidP="00F02E0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540F">
              <w:rPr>
                <w:color w:val="000000"/>
                <w:sz w:val="24"/>
                <w:szCs w:val="24"/>
              </w:rPr>
              <w:t>1 920 726 762,98</w:t>
            </w:r>
          </w:p>
        </w:tc>
      </w:tr>
    </w:tbl>
    <w:p w:rsidR="0063611C" w:rsidRDefault="0063611C" w:rsidP="00F02E00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E73A3" w:rsidRDefault="00C14710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1</w:t>
      </w:r>
    </w:p>
    <w:p w:rsidR="00CA063B" w:rsidRDefault="00CA063B" w:rsidP="00CA063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опубликованных процедур в разрезе заказчиков, шт.</w:t>
      </w:r>
    </w:p>
    <w:p w:rsidR="00712A2D" w:rsidRPr="00DC501C" w:rsidRDefault="00712A2D" w:rsidP="00764B36">
      <w:pPr>
        <w:spacing w:after="0" w:line="240" w:lineRule="auto"/>
        <w:rPr>
          <w:rFonts w:eastAsia="Times New Roman" w:cs="Times New Roman"/>
          <w:b/>
          <w:sz w:val="24"/>
          <w:szCs w:val="28"/>
          <w:lang w:eastAsia="ru-RU"/>
        </w:rPr>
      </w:pPr>
    </w:p>
    <w:p w:rsidR="0063611C" w:rsidRDefault="00EF75C4" w:rsidP="0063611C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5DF948" wp14:editId="2F1A42C1">
            <wp:extent cx="6696075" cy="73056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C501C" w:rsidRDefault="00DC501C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EF75C4" w:rsidRDefault="00EF75C4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EF75C4" w:rsidRDefault="00EF75C4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EF75C4" w:rsidRDefault="00EF75C4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CA3BFD" w:rsidRPr="00157133" w:rsidRDefault="00CA108B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2</w:t>
      </w:r>
    </w:p>
    <w:p w:rsidR="00CA108B" w:rsidRDefault="00CA108B" w:rsidP="00CA108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3FF9">
        <w:rPr>
          <w:rFonts w:eastAsia="Times New Roman" w:cs="Times New Roman"/>
          <w:sz w:val="28"/>
          <w:szCs w:val="28"/>
          <w:lang w:eastAsia="ru-RU"/>
        </w:rPr>
        <w:t>Сумма НМЦК опубликованных процедур</w:t>
      </w:r>
      <w:r>
        <w:rPr>
          <w:rFonts w:eastAsia="Times New Roman" w:cs="Times New Roman"/>
          <w:sz w:val="28"/>
          <w:szCs w:val="28"/>
          <w:lang w:eastAsia="ru-RU"/>
        </w:rPr>
        <w:t xml:space="preserve"> в разрезе заказчиков, млн. руб.</w:t>
      </w:r>
    </w:p>
    <w:p w:rsidR="00DC501C" w:rsidRDefault="00DC501C" w:rsidP="00CA108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D4078" w:rsidRDefault="00EF75C4" w:rsidP="0063611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58DD7D" wp14:editId="1979F283">
            <wp:extent cx="6581775" cy="78486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5E47" w:rsidRPr="00CA063B" w:rsidRDefault="00675E47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A66625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4102C8" w:rsidRDefault="004102C8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>2. СПОСОБЫ ЗАКУПОК</w:t>
      </w:r>
    </w:p>
    <w:p w:rsidR="007209D1" w:rsidRPr="0043542E" w:rsidRDefault="007209D1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14"/>
          <w:szCs w:val="28"/>
          <w:lang w:eastAsia="ru-RU"/>
        </w:rPr>
      </w:pPr>
    </w:p>
    <w:p w:rsidR="00E1619F" w:rsidRPr="00F87C95" w:rsidRDefault="00197D73" w:rsidP="00F87C9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За </w:t>
      </w:r>
      <w:r w:rsidR="007235AC" w:rsidRPr="00F87C95">
        <w:rPr>
          <w:rFonts w:eastAsia="Times New Roman" w:cs="Times New Roman"/>
          <w:sz w:val="28"/>
          <w:szCs w:val="28"/>
          <w:lang w:eastAsia="ru-RU"/>
        </w:rPr>
        <w:t>6 месяцев</w:t>
      </w:r>
      <w:r w:rsidR="00CA592C" w:rsidRPr="00F87C9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278F7" w:rsidRPr="00F87C95">
        <w:rPr>
          <w:rFonts w:eastAsia="Times New Roman" w:cs="Times New Roman"/>
          <w:sz w:val="28"/>
          <w:szCs w:val="28"/>
          <w:lang w:eastAsia="ru-RU"/>
        </w:rPr>
        <w:t>в Единой информационной системе (далее – ЕИС)</w:t>
      </w:r>
      <w:r w:rsidR="00CA592C" w:rsidRPr="00F87C95">
        <w:rPr>
          <w:rFonts w:eastAsia="Times New Roman" w:cs="Times New Roman"/>
          <w:sz w:val="28"/>
          <w:szCs w:val="28"/>
          <w:lang w:eastAsia="ru-RU"/>
        </w:rPr>
        <w:t xml:space="preserve"> размещены закупки с использованием следующих способов определения поставщиков (подрядчиков, исполнителей):</w:t>
      </w:r>
    </w:p>
    <w:p w:rsidR="00275CA4" w:rsidRPr="0043542E" w:rsidRDefault="00275CA4" w:rsidP="00F87C95">
      <w:pPr>
        <w:spacing w:after="0" w:line="360" w:lineRule="auto"/>
        <w:ind w:left="720"/>
        <w:jc w:val="both"/>
        <w:rPr>
          <w:rFonts w:eastAsia="Times New Roman" w:cs="Times New Roman"/>
          <w:sz w:val="12"/>
          <w:szCs w:val="28"/>
          <w:lang w:eastAsia="ru-RU"/>
        </w:rPr>
      </w:pPr>
    </w:p>
    <w:p w:rsidR="00E60397" w:rsidRPr="00275CA4" w:rsidRDefault="00275CA4" w:rsidP="0095710A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4215F0">
        <w:rPr>
          <w:rFonts w:eastAsia="Times New Roman" w:cs="Times New Roman"/>
          <w:b/>
          <w:sz w:val="28"/>
          <w:szCs w:val="28"/>
          <w:lang w:eastAsia="ru-RU"/>
        </w:rPr>
        <w:t>Таблица №2</w:t>
      </w:r>
    </w:p>
    <w:tbl>
      <w:tblPr>
        <w:tblStyle w:val="ac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2693"/>
      </w:tblGrid>
      <w:tr w:rsidR="0003416B" w:rsidRPr="00DC4775" w:rsidTr="00E60397">
        <w:trPr>
          <w:trHeight w:val="699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3416B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03416B" w:rsidRPr="00DC4775" w:rsidTr="00E60397">
        <w:trPr>
          <w:trHeight w:val="114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843" w:type="dxa"/>
            <w:vAlign w:val="center"/>
          </w:tcPr>
          <w:p w:rsidR="0003416B" w:rsidRPr="00DC4775" w:rsidRDefault="003B45F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693" w:type="dxa"/>
            <w:vAlign w:val="center"/>
          </w:tcPr>
          <w:p w:rsidR="0003416B" w:rsidRPr="00DC4775" w:rsidRDefault="0058605F" w:rsidP="0058605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1 870 941 616,68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267138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vAlign w:val="center"/>
          </w:tcPr>
          <w:p w:rsidR="0003416B" w:rsidRPr="00DC4775" w:rsidRDefault="0058605F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44 291 040,00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3B45F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vAlign w:val="center"/>
          </w:tcPr>
          <w:p w:rsidR="0003416B" w:rsidRPr="00DC4775" w:rsidRDefault="0058605F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5 494 106,30</w:t>
            </w:r>
          </w:p>
        </w:tc>
      </w:tr>
      <w:tr w:rsidR="0003416B" w:rsidRPr="00DC4775" w:rsidTr="00E60397">
        <w:trPr>
          <w:trHeight w:val="70"/>
        </w:trPr>
        <w:tc>
          <w:tcPr>
            <w:tcW w:w="6096" w:type="dxa"/>
            <w:gridSpan w:val="2"/>
          </w:tcPr>
          <w:p w:rsidR="0003416B" w:rsidRPr="00D5178C" w:rsidRDefault="0003416B" w:rsidP="00CA592C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03416B" w:rsidRPr="00D5178C" w:rsidRDefault="003B45F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693" w:type="dxa"/>
            <w:vAlign w:val="center"/>
          </w:tcPr>
          <w:p w:rsidR="0003416B" w:rsidRPr="00D5178C" w:rsidRDefault="0058605F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40F">
              <w:rPr>
                <w:color w:val="000000"/>
                <w:sz w:val="24"/>
                <w:szCs w:val="24"/>
              </w:rPr>
              <w:t>1 920 726 762,98</w:t>
            </w:r>
          </w:p>
        </w:tc>
      </w:tr>
    </w:tbl>
    <w:p w:rsidR="00CA592C" w:rsidRPr="0043542E" w:rsidRDefault="00CA592C" w:rsidP="00F87C95">
      <w:pPr>
        <w:spacing w:after="0" w:line="360" w:lineRule="auto"/>
        <w:jc w:val="both"/>
        <w:rPr>
          <w:rFonts w:eastAsia="Times New Roman" w:cs="Times New Roman"/>
          <w:sz w:val="16"/>
          <w:szCs w:val="28"/>
          <w:lang w:eastAsia="ru-RU"/>
        </w:rPr>
      </w:pPr>
    </w:p>
    <w:p w:rsidR="00B550FD" w:rsidRPr="00F87C95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>И</w:t>
      </w:r>
      <w:r w:rsidR="00914E22" w:rsidRPr="00F87C95">
        <w:rPr>
          <w:rFonts w:eastAsia="Times New Roman" w:cs="Times New Roman"/>
          <w:sz w:val="28"/>
          <w:szCs w:val="28"/>
          <w:lang w:eastAsia="ru-RU"/>
        </w:rPr>
        <w:t xml:space="preserve">сходя из приведенных данных за </w:t>
      </w:r>
      <w:r w:rsidR="007235AC" w:rsidRPr="00F87C95">
        <w:rPr>
          <w:rFonts w:eastAsia="Times New Roman" w:cs="Times New Roman"/>
          <w:sz w:val="28"/>
          <w:szCs w:val="28"/>
          <w:lang w:eastAsia="ru-RU"/>
        </w:rPr>
        <w:t>6</w:t>
      </w:r>
      <w:r w:rsidR="00454C57" w:rsidRPr="00F87C9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235AC" w:rsidRPr="00F87C95">
        <w:rPr>
          <w:rFonts w:eastAsia="Times New Roman" w:cs="Times New Roman"/>
          <w:sz w:val="28"/>
          <w:szCs w:val="28"/>
          <w:lang w:eastAsia="ru-RU"/>
        </w:rPr>
        <w:t>месяцев</w:t>
      </w:r>
      <w:r w:rsidR="00B75C40" w:rsidRPr="00F87C95">
        <w:rPr>
          <w:rFonts w:eastAsia="Times New Roman" w:cs="Times New Roman"/>
          <w:sz w:val="28"/>
          <w:szCs w:val="28"/>
          <w:lang w:eastAsia="ru-RU"/>
        </w:rPr>
        <w:t xml:space="preserve"> 2023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года </w:t>
      </w:r>
      <w:r w:rsidR="00454C57" w:rsidRPr="00F87C95">
        <w:rPr>
          <w:rFonts w:eastAsia="Times New Roman" w:cs="Times New Roman"/>
          <w:sz w:val="28"/>
          <w:szCs w:val="28"/>
          <w:lang w:eastAsia="ru-RU"/>
        </w:rPr>
        <w:t xml:space="preserve">приоритетными </w:t>
      </w:r>
      <w:r w:rsidRPr="00F87C95">
        <w:rPr>
          <w:rFonts w:eastAsia="Times New Roman" w:cs="Times New Roman"/>
          <w:sz w:val="28"/>
          <w:szCs w:val="28"/>
          <w:lang w:eastAsia="ru-RU"/>
        </w:rPr>
        <w:t>способами определения поставщика (подрядчика, исполнителя) являются:</w:t>
      </w:r>
    </w:p>
    <w:p w:rsidR="00B550FD" w:rsidRPr="00F87C95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- электронный аукцион – </w:t>
      </w:r>
      <w:r w:rsidR="00211997" w:rsidRPr="00F87C95">
        <w:rPr>
          <w:rFonts w:eastAsia="Times New Roman" w:cs="Times New Roman"/>
          <w:b/>
          <w:sz w:val="28"/>
          <w:szCs w:val="28"/>
          <w:lang w:eastAsia="ru-RU"/>
        </w:rPr>
        <w:t>91,6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156C5C" w:rsidRPr="00F87C95">
        <w:rPr>
          <w:rFonts w:eastAsia="Times New Roman" w:cs="Times New Roman"/>
          <w:b/>
          <w:sz w:val="28"/>
          <w:szCs w:val="28"/>
          <w:lang w:eastAsia="ru-RU"/>
        </w:rPr>
        <w:t>97,4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Pr="00F87C95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- открытый конкурс в электронной форме – </w:t>
      </w:r>
      <w:r w:rsidR="009C6FE8" w:rsidRPr="00F87C95">
        <w:rPr>
          <w:rFonts w:eastAsia="Times New Roman" w:cs="Times New Roman"/>
          <w:b/>
          <w:sz w:val="28"/>
          <w:szCs w:val="28"/>
          <w:lang w:eastAsia="ru-RU"/>
        </w:rPr>
        <w:t>2</w:t>
      </w:r>
      <w:r w:rsidR="00156C5C" w:rsidRPr="00F87C95">
        <w:rPr>
          <w:rFonts w:eastAsia="Times New Roman" w:cs="Times New Roman"/>
          <w:b/>
          <w:sz w:val="28"/>
          <w:szCs w:val="28"/>
          <w:lang w:eastAsia="ru-RU"/>
        </w:rPr>
        <w:t>,7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156C5C" w:rsidRPr="00F87C95">
        <w:rPr>
          <w:rFonts w:eastAsia="Times New Roman" w:cs="Times New Roman"/>
          <w:b/>
          <w:sz w:val="28"/>
          <w:szCs w:val="28"/>
          <w:lang w:eastAsia="ru-RU"/>
        </w:rPr>
        <w:t>2,3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Pr="00F87C95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DD04A1" w:rsidRPr="00F87C95">
        <w:rPr>
          <w:rFonts w:eastAsia="Times New Roman" w:cs="Times New Roman"/>
          <w:sz w:val="28"/>
          <w:szCs w:val="28"/>
          <w:lang w:eastAsia="ru-RU"/>
        </w:rPr>
        <w:t>з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апрос котировок в электронной форме </w:t>
      </w:r>
      <w:r w:rsidR="00CC49CD" w:rsidRPr="00F87C95">
        <w:rPr>
          <w:rFonts w:eastAsia="Times New Roman" w:cs="Times New Roman"/>
          <w:sz w:val="28"/>
          <w:szCs w:val="28"/>
          <w:lang w:eastAsia="ru-RU"/>
        </w:rPr>
        <w:t>–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6537C" w:rsidRPr="00F87C95"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211997" w:rsidRPr="00F87C95">
        <w:rPr>
          <w:rFonts w:eastAsia="Times New Roman" w:cs="Times New Roman"/>
          <w:b/>
          <w:sz w:val="28"/>
          <w:szCs w:val="28"/>
          <w:lang w:eastAsia="ru-RU"/>
        </w:rPr>
        <w:t>,7</w:t>
      </w:r>
      <w:r w:rsidR="00CC49CD"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F87C95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156C5C" w:rsidRPr="00F87C95">
        <w:rPr>
          <w:rFonts w:eastAsia="Times New Roman" w:cs="Times New Roman"/>
          <w:b/>
          <w:sz w:val="28"/>
          <w:szCs w:val="28"/>
          <w:lang w:eastAsia="ru-RU"/>
        </w:rPr>
        <w:t>0,3</w:t>
      </w:r>
      <w:r w:rsidR="00CC49CD"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F87C95"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выражении.</w:t>
      </w:r>
    </w:p>
    <w:p w:rsidR="0043542E" w:rsidRPr="0043542E" w:rsidRDefault="0043542E" w:rsidP="0043542E">
      <w:pPr>
        <w:spacing w:after="0" w:line="240" w:lineRule="auto"/>
        <w:rPr>
          <w:rFonts w:eastAsia="Times New Roman" w:cs="Times New Roman"/>
          <w:b/>
          <w:sz w:val="18"/>
          <w:szCs w:val="28"/>
          <w:lang w:eastAsia="ru-RU"/>
        </w:rPr>
      </w:pPr>
    </w:p>
    <w:p w:rsidR="003C075B" w:rsidRPr="00CA7742" w:rsidRDefault="003C075B" w:rsidP="00CA7742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</w:p>
    <w:p w:rsidR="00B550FD" w:rsidRDefault="00267138" w:rsidP="005C631E">
      <w:pPr>
        <w:spacing w:after="0" w:line="240" w:lineRule="auto"/>
        <w:ind w:left="72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35EF818" wp14:editId="58B3C405">
            <wp:extent cx="3800475" cy="27717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32B5" w:rsidRPr="0043542E" w:rsidRDefault="006332B5" w:rsidP="006332B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3</w:t>
      </w: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A609CA">
        <w:rPr>
          <w:rFonts w:eastAsia="Times New Roman" w:cs="Times New Roman"/>
          <w:b/>
          <w:sz w:val="28"/>
          <w:szCs w:val="28"/>
          <w:lang w:eastAsia="ru-RU"/>
        </w:rPr>
        <w:t>ВИДЫ ОБЪЕКТОВ</w:t>
      </w:r>
      <w:r w:rsidR="000B3A3F">
        <w:rPr>
          <w:rFonts w:eastAsia="Times New Roman" w:cs="Times New Roman"/>
          <w:b/>
          <w:sz w:val="28"/>
          <w:szCs w:val="28"/>
          <w:lang w:eastAsia="ru-RU"/>
        </w:rPr>
        <w:t xml:space="preserve"> ЗАКУПОК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8B65D5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6 месяцев</w:t>
      </w:r>
      <w:r w:rsidR="00190AE8" w:rsidRPr="00CA592C">
        <w:rPr>
          <w:rFonts w:eastAsia="Times New Roman" w:cs="Times New Roman"/>
          <w:sz w:val="28"/>
          <w:szCs w:val="28"/>
          <w:lang w:eastAsia="ru-RU"/>
        </w:rPr>
        <w:t xml:space="preserve"> в ЕИС размещены </w:t>
      </w:r>
      <w:r w:rsidR="003E6CFE">
        <w:rPr>
          <w:rFonts w:eastAsia="Times New Roman" w:cs="Times New Roman"/>
          <w:sz w:val="28"/>
          <w:szCs w:val="28"/>
          <w:lang w:eastAsia="ru-RU"/>
        </w:rPr>
        <w:t>следующие виды объектов закупок:</w:t>
      </w:r>
    </w:p>
    <w:p w:rsidR="00E60397" w:rsidRPr="00275CA4" w:rsidRDefault="00190AE8" w:rsidP="0095710A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№3</w:t>
      </w:r>
    </w:p>
    <w:tbl>
      <w:tblPr>
        <w:tblStyle w:val="ac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5387"/>
      </w:tblGrid>
      <w:tr w:rsidR="00190AE8" w:rsidRPr="00DC4775" w:rsidTr="00E60397">
        <w:trPr>
          <w:trHeight w:val="699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190AE8" w:rsidRPr="00DC4775" w:rsidRDefault="003E6CFE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Вид закупки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5387" w:type="dxa"/>
            <w:shd w:val="clear" w:color="auto" w:fill="C2D69B" w:themeFill="accent3" w:themeFillTint="99"/>
            <w:vAlign w:val="center"/>
          </w:tcPr>
          <w:p w:rsidR="00190AE8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190AE8" w:rsidRPr="00DC4775" w:rsidTr="00E60397">
        <w:trPr>
          <w:trHeight w:val="70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0AE8" w:rsidRPr="00DC4775" w:rsidTr="00E60397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43" w:type="dxa"/>
            <w:vAlign w:val="center"/>
          </w:tcPr>
          <w:p w:rsidR="00190AE8" w:rsidRPr="00DC4775" w:rsidRDefault="00276BBC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vAlign w:val="center"/>
          </w:tcPr>
          <w:p w:rsidR="00190AE8" w:rsidRPr="00DC4775" w:rsidRDefault="00276BBC" w:rsidP="00276BB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316 680 650,98</w:t>
            </w:r>
          </w:p>
        </w:tc>
      </w:tr>
      <w:tr w:rsidR="00190AE8" w:rsidRPr="00DC4775" w:rsidTr="00E60397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190AE8" w:rsidRPr="00DC4775" w:rsidRDefault="00C04F1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1843" w:type="dxa"/>
            <w:vAlign w:val="center"/>
          </w:tcPr>
          <w:p w:rsidR="00190AE8" w:rsidRPr="00DC4775" w:rsidRDefault="00F91006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vAlign w:val="center"/>
          </w:tcPr>
          <w:p w:rsidR="00190AE8" w:rsidRPr="00DC4775" w:rsidRDefault="00276BBC" w:rsidP="00276BB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118 715 955,00</w:t>
            </w:r>
          </w:p>
        </w:tc>
      </w:tr>
      <w:tr w:rsidR="00C04F18" w:rsidRPr="00DC4775" w:rsidTr="00E60397">
        <w:tc>
          <w:tcPr>
            <w:tcW w:w="709" w:type="dxa"/>
          </w:tcPr>
          <w:p w:rsidR="00C04F18" w:rsidRPr="00DC4775" w:rsidRDefault="00C04F1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C04F18" w:rsidRPr="00DC4775" w:rsidRDefault="00C04F18" w:rsidP="00265F0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C04F18" w:rsidRPr="00DC4775" w:rsidRDefault="00F91006" w:rsidP="00265F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vAlign w:val="center"/>
          </w:tcPr>
          <w:p w:rsidR="00C04F18" w:rsidRPr="00DC4775" w:rsidRDefault="00276BBC" w:rsidP="00265F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6BBC">
              <w:rPr>
                <w:rFonts w:eastAsia="Times New Roman" w:cs="Times New Roman"/>
                <w:sz w:val="24"/>
                <w:szCs w:val="24"/>
                <w:lang w:eastAsia="ru-RU"/>
              </w:rPr>
              <w:t>1 485 330 157,00</w:t>
            </w:r>
          </w:p>
        </w:tc>
      </w:tr>
      <w:tr w:rsidR="00190AE8" w:rsidRPr="00DC4775" w:rsidTr="00E60397">
        <w:trPr>
          <w:trHeight w:val="70"/>
        </w:trPr>
        <w:tc>
          <w:tcPr>
            <w:tcW w:w="3402" w:type="dxa"/>
            <w:gridSpan w:val="2"/>
          </w:tcPr>
          <w:p w:rsidR="00190AE8" w:rsidRPr="00D5178C" w:rsidRDefault="00190AE8" w:rsidP="00CB3252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190AE8" w:rsidRPr="00D5178C" w:rsidRDefault="00276BBC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387" w:type="dxa"/>
            <w:vAlign w:val="center"/>
          </w:tcPr>
          <w:p w:rsidR="00190AE8" w:rsidRPr="00D5178C" w:rsidRDefault="00276BBC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40F">
              <w:rPr>
                <w:color w:val="000000"/>
                <w:sz w:val="24"/>
                <w:szCs w:val="24"/>
              </w:rPr>
              <w:t>1 920 726 762,98</w:t>
            </w:r>
          </w:p>
        </w:tc>
      </w:tr>
    </w:tbl>
    <w:p w:rsidR="00190AE8" w:rsidRDefault="00190AE8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90AE8" w:rsidRDefault="009519C0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отчетный период</w:t>
      </w:r>
      <w:r w:rsidR="003E6CFE">
        <w:rPr>
          <w:rFonts w:eastAsia="Times New Roman" w:cs="Times New Roman"/>
          <w:sz w:val="28"/>
          <w:szCs w:val="28"/>
          <w:lang w:eastAsia="ru-RU"/>
        </w:rPr>
        <w:t xml:space="preserve"> наиболее закупаемым видом объекта закупок являются:</w:t>
      </w:r>
    </w:p>
    <w:p w:rsidR="00460655" w:rsidRDefault="00460655" w:rsidP="0046065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услуги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40,2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16,6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460655" w:rsidRDefault="00460655" w:rsidP="0046065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 xml:space="preserve">товары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37,5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6,2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выражении;</w:t>
      </w:r>
    </w:p>
    <w:p w:rsidR="003E6CFE" w:rsidRPr="00CC49CD" w:rsidRDefault="003E6CFE" w:rsidP="003E6CFE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работы</w:t>
      </w:r>
      <w:r w:rsidR="009519C0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22,4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77,2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460655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выражении.</w:t>
      </w:r>
    </w:p>
    <w:p w:rsidR="003E6CFE" w:rsidRDefault="003E6CFE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34DCC">
        <w:rPr>
          <w:rFonts w:eastAsia="Times New Roman" w:cs="Times New Roman"/>
          <w:b/>
          <w:sz w:val="28"/>
          <w:szCs w:val="28"/>
          <w:lang w:eastAsia="ru-RU"/>
        </w:rPr>
        <w:t xml:space="preserve">4. </w:t>
      </w:r>
      <w:r w:rsidR="00BA48B2" w:rsidRPr="00F34DCC">
        <w:rPr>
          <w:rFonts w:eastAsia="Times New Roman" w:cs="Times New Roman"/>
          <w:b/>
          <w:sz w:val="28"/>
          <w:szCs w:val="28"/>
          <w:lang w:eastAsia="ru-RU"/>
        </w:rPr>
        <w:t>ИНФОРМАЦИЯ О КОЛИЧЕСТВЕ ПОДАННЫХ ЗАЯВОК</w:t>
      </w: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9A1A91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поданных заявок за отчетный период</w:t>
      </w:r>
      <w:r w:rsidR="002968E7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="00A24409">
        <w:rPr>
          <w:rFonts w:eastAsia="Times New Roman" w:cs="Times New Roman"/>
          <w:sz w:val="28"/>
          <w:szCs w:val="28"/>
          <w:lang w:eastAsia="ru-RU"/>
        </w:rPr>
        <w:t>261</w:t>
      </w:r>
      <w:r w:rsidR="001972F9">
        <w:rPr>
          <w:rFonts w:eastAsia="Times New Roman" w:cs="Times New Roman"/>
          <w:sz w:val="28"/>
          <w:szCs w:val="28"/>
          <w:lang w:eastAsia="ru-RU"/>
        </w:rPr>
        <w:t xml:space="preserve"> проведенных процедурах </w:t>
      </w:r>
      <w:r>
        <w:rPr>
          <w:rFonts w:eastAsia="Times New Roman" w:cs="Times New Roman"/>
          <w:sz w:val="28"/>
          <w:szCs w:val="28"/>
          <w:lang w:eastAsia="ru-RU"/>
        </w:rPr>
        <w:t xml:space="preserve">составило – </w:t>
      </w:r>
      <w:r w:rsidR="00006784">
        <w:rPr>
          <w:rFonts w:eastAsia="Times New Roman" w:cs="Times New Roman"/>
          <w:b/>
          <w:sz w:val="28"/>
          <w:szCs w:val="28"/>
          <w:lang w:eastAsia="ru-RU"/>
        </w:rPr>
        <w:t>817</w:t>
      </w:r>
      <w:r>
        <w:rPr>
          <w:rFonts w:eastAsia="Times New Roman" w:cs="Times New Roman"/>
          <w:sz w:val="28"/>
          <w:szCs w:val="28"/>
          <w:lang w:eastAsia="ru-RU"/>
        </w:rPr>
        <w:t xml:space="preserve"> шт. из них допущено </w:t>
      </w:r>
      <w:r w:rsidR="00006784">
        <w:rPr>
          <w:rFonts w:eastAsia="Times New Roman" w:cs="Times New Roman"/>
          <w:b/>
          <w:sz w:val="28"/>
          <w:szCs w:val="28"/>
          <w:lang w:eastAsia="ru-RU"/>
        </w:rPr>
        <w:t>749</w:t>
      </w:r>
      <w:r>
        <w:rPr>
          <w:rFonts w:eastAsia="Times New Roman" w:cs="Times New Roman"/>
          <w:sz w:val="28"/>
          <w:szCs w:val="28"/>
          <w:lang w:eastAsia="ru-RU"/>
        </w:rPr>
        <w:t xml:space="preserve"> шт., всего отклонено заявок – </w:t>
      </w:r>
      <w:r w:rsidR="00006784">
        <w:rPr>
          <w:rFonts w:eastAsia="Times New Roman" w:cs="Times New Roman"/>
          <w:b/>
          <w:sz w:val="28"/>
          <w:szCs w:val="28"/>
          <w:lang w:eastAsia="ru-RU"/>
        </w:rPr>
        <w:t>68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  <w:r w:rsidR="003D73B4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r w:rsidR="00006784">
        <w:rPr>
          <w:rFonts w:eastAsia="Times New Roman" w:cs="Times New Roman"/>
          <w:b/>
          <w:sz w:val="28"/>
          <w:szCs w:val="28"/>
          <w:lang w:eastAsia="ru-RU"/>
        </w:rPr>
        <w:t>8,32</w:t>
      </w:r>
      <w:r w:rsidR="003D73B4" w:rsidRPr="00E03A50">
        <w:rPr>
          <w:rFonts w:eastAsia="Times New Roman" w:cs="Times New Roman"/>
          <w:b/>
          <w:sz w:val="28"/>
          <w:szCs w:val="28"/>
          <w:lang w:eastAsia="ru-RU"/>
        </w:rPr>
        <w:t xml:space="preserve"> %</w:t>
      </w:r>
      <w:r w:rsidR="003D73B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3D73B4" w:rsidRPr="003D73B4">
        <w:rPr>
          <w:rFonts w:eastAsia="Times New Roman" w:cs="Times New Roman"/>
          <w:sz w:val="28"/>
          <w:szCs w:val="28"/>
          <w:lang w:eastAsia="ru-RU"/>
        </w:rPr>
        <w:t>от общего числа поданных заявок</w:t>
      </w:r>
      <w:r w:rsidR="003D73B4">
        <w:rPr>
          <w:rFonts w:eastAsia="Times New Roman" w:cs="Times New Roman"/>
          <w:sz w:val="28"/>
          <w:szCs w:val="28"/>
          <w:lang w:eastAsia="ru-RU"/>
        </w:rPr>
        <w:t>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число поданных заявок составило – </w:t>
      </w:r>
      <w:r w:rsidR="00CE7C00">
        <w:rPr>
          <w:rFonts w:eastAsia="Times New Roman" w:cs="Times New Roman"/>
          <w:b/>
          <w:sz w:val="28"/>
          <w:szCs w:val="28"/>
          <w:lang w:eastAsia="ru-RU"/>
        </w:rPr>
        <w:t>3,2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количество допущенных заявок </w:t>
      </w:r>
      <w:r w:rsidR="005133DA">
        <w:rPr>
          <w:rFonts w:eastAsia="Times New Roman" w:cs="Times New Roman"/>
          <w:b/>
          <w:sz w:val="28"/>
          <w:szCs w:val="28"/>
          <w:lang w:eastAsia="ru-RU"/>
        </w:rPr>
        <w:t>– 2,9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F95F95" w:rsidRDefault="003D12A3" w:rsidP="00D473D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Информация о количестве поданных заявок в разрезе способов определения поставщика (подрядчика, исполнителя) представлена на диаграмме </w:t>
      </w:r>
      <w:r w:rsidR="000C45E3">
        <w:rPr>
          <w:rFonts w:eastAsia="Times New Roman" w:cs="Times New Roman"/>
          <w:sz w:val="28"/>
          <w:szCs w:val="28"/>
          <w:lang w:eastAsia="ru-RU"/>
        </w:rPr>
        <w:t>№</w:t>
      </w:r>
      <w:r w:rsidR="00D473D1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4.</w:t>
      </w:r>
    </w:p>
    <w:p w:rsidR="0063611C" w:rsidRDefault="0063611C" w:rsidP="007B4FE5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4</w:t>
      </w: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8D3ADE" w:rsidP="00605E54">
      <w:pPr>
        <w:spacing w:after="0"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7617A7" wp14:editId="793E1CBC">
            <wp:extent cx="6152515" cy="3000375"/>
            <wp:effectExtent l="0" t="0" r="63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97CA9" w:rsidRDefault="00797CA9" w:rsidP="00605E5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797CA9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E7BA3"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190AE8" w:rsidRPr="00FE7BA3">
        <w:rPr>
          <w:rFonts w:eastAsia="Times New Roman" w:cs="Times New Roman"/>
          <w:b/>
          <w:sz w:val="28"/>
          <w:szCs w:val="28"/>
          <w:lang w:eastAsia="ru-RU"/>
        </w:rPr>
        <w:t xml:space="preserve">. ЗАКУПКИ </w:t>
      </w:r>
      <w:r w:rsidR="003A4238" w:rsidRPr="00FE7BA3">
        <w:rPr>
          <w:rFonts w:eastAsia="Times New Roman" w:cs="Times New Roman"/>
          <w:b/>
          <w:sz w:val="28"/>
          <w:szCs w:val="28"/>
          <w:lang w:eastAsia="ru-RU"/>
        </w:rPr>
        <w:t xml:space="preserve">С ПРЕИМУЩЕСТВОМ ДЛЯ </w:t>
      </w:r>
      <w:r w:rsidR="001211C5" w:rsidRPr="00FE7BA3">
        <w:rPr>
          <w:rFonts w:eastAsia="Times New Roman" w:cs="Times New Roman"/>
          <w:b/>
          <w:sz w:val="28"/>
          <w:szCs w:val="28"/>
          <w:lang w:eastAsia="ru-RU"/>
        </w:rPr>
        <w:t>СУБЪЕКТОВ МАЛОГО ПРЕДПРИНИМАТЕЛЬСТВА, СОЦИАЛЬНО ОРИЕНТИРОВАННЫХ НЕКОМЕРЧЕСКИХ ОРГАНИЗАЦИЙ</w:t>
      </w:r>
    </w:p>
    <w:p w:rsidR="00D5178C" w:rsidRDefault="00D5178C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35E86" w:rsidRDefault="00510015" w:rsidP="00EB155F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За </w:t>
      </w:r>
      <w:r w:rsidR="00EE2AB0">
        <w:rPr>
          <w:rFonts w:eastAsia="Times New Roman" w:cs="Times New Roman"/>
          <w:sz w:val="28"/>
          <w:szCs w:val="28"/>
          <w:lang w:eastAsia="ru-RU"/>
        </w:rPr>
        <w:t>6 месяцев</w:t>
      </w:r>
      <w:r>
        <w:rPr>
          <w:rFonts w:eastAsia="Times New Roman" w:cs="Times New Roman"/>
          <w:sz w:val="28"/>
          <w:szCs w:val="28"/>
          <w:lang w:eastAsia="ru-RU"/>
        </w:rPr>
        <w:t xml:space="preserve"> 2023</w:t>
      </w:r>
      <w:r w:rsidR="00EB155F" w:rsidRPr="006E720B">
        <w:rPr>
          <w:rFonts w:eastAsia="Times New Roman" w:cs="Times New Roman"/>
          <w:sz w:val="28"/>
          <w:szCs w:val="28"/>
          <w:lang w:eastAsia="ru-RU"/>
        </w:rPr>
        <w:t xml:space="preserve"> года</w:t>
      </w:r>
      <w:r w:rsidR="00D5178C" w:rsidRPr="006E720B">
        <w:rPr>
          <w:rFonts w:eastAsia="Times New Roman" w:cs="Times New Roman"/>
          <w:sz w:val="28"/>
          <w:szCs w:val="28"/>
          <w:lang w:eastAsia="ru-RU"/>
        </w:rPr>
        <w:t xml:space="preserve"> размещено </w:t>
      </w:r>
      <w:r w:rsidR="00553EC9">
        <w:rPr>
          <w:rFonts w:eastAsia="Times New Roman" w:cs="Times New Roman"/>
          <w:b/>
          <w:sz w:val="28"/>
          <w:szCs w:val="28"/>
          <w:lang w:eastAsia="ru-RU"/>
        </w:rPr>
        <w:t>220</w:t>
      </w:r>
      <w:r w:rsidR="0027608D"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35E86" w:rsidRPr="006E720B">
        <w:rPr>
          <w:rFonts w:eastAsia="Times New Roman" w:cs="Times New Roman"/>
          <w:sz w:val="28"/>
          <w:szCs w:val="28"/>
          <w:lang w:eastAsia="ru-RU"/>
        </w:rPr>
        <w:t xml:space="preserve">извещений о </w:t>
      </w:r>
      <w:r w:rsidR="00262DDD" w:rsidRPr="006E720B">
        <w:rPr>
          <w:rFonts w:eastAsia="Times New Roman" w:cs="Times New Roman"/>
          <w:sz w:val="28"/>
          <w:szCs w:val="28"/>
          <w:lang w:eastAsia="ru-RU"/>
        </w:rPr>
        <w:t>закупках</w:t>
      </w:r>
      <w:r w:rsidR="00ED471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D4718" w:rsidRPr="006E720B">
        <w:rPr>
          <w:rFonts w:eastAsia="Times New Roman" w:cs="Times New Roman"/>
          <w:sz w:val="28"/>
          <w:szCs w:val="28"/>
          <w:lang w:eastAsia="ru-RU"/>
        </w:rPr>
        <w:t>участниками, которых могут быть только субъекты малого предпринимательства и социально ориентированные некоммерческие организации</w:t>
      </w:r>
      <w:r w:rsidR="00ED4718">
        <w:rPr>
          <w:rFonts w:eastAsia="Times New Roman" w:cs="Times New Roman"/>
          <w:sz w:val="28"/>
          <w:szCs w:val="28"/>
          <w:lang w:eastAsia="ru-RU"/>
        </w:rPr>
        <w:t xml:space="preserve"> (далее – СМП, СОНКО)</w:t>
      </w:r>
      <w:r w:rsidR="00262DDD" w:rsidRPr="006E720B">
        <w:rPr>
          <w:rFonts w:eastAsia="Times New Roman" w:cs="Times New Roman"/>
          <w:sz w:val="28"/>
          <w:szCs w:val="28"/>
          <w:lang w:eastAsia="ru-RU"/>
        </w:rPr>
        <w:t>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553EC9">
        <w:rPr>
          <w:rFonts w:eastAsia="Times New Roman" w:cs="Times New Roman"/>
          <w:b/>
          <w:sz w:val="28"/>
          <w:szCs w:val="28"/>
          <w:lang w:eastAsia="ru-RU"/>
        </w:rPr>
        <w:t>84,29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</w:t>
      </w:r>
      <w:r w:rsidR="00BB1322">
        <w:rPr>
          <w:rFonts w:eastAsia="Times New Roman" w:cs="Times New Roman"/>
          <w:sz w:val="28"/>
          <w:szCs w:val="28"/>
          <w:lang w:eastAsia="ru-RU"/>
        </w:rPr>
        <w:t>.</w:t>
      </w:r>
    </w:p>
    <w:p w:rsidR="00071014" w:rsidRDefault="00071014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71014">
        <w:rPr>
          <w:rFonts w:eastAsia="Times New Roman" w:cs="Times New Roman"/>
          <w:sz w:val="28"/>
          <w:szCs w:val="28"/>
          <w:lang w:eastAsia="ru-RU"/>
        </w:rPr>
        <w:lastRenderedPageBreak/>
        <w:t>Так же</w:t>
      </w:r>
      <w:r>
        <w:rPr>
          <w:rFonts w:eastAsia="Times New Roman" w:cs="Times New Roman"/>
          <w:sz w:val="28"/>
          <w:szCs w:val="28"/>
          <w:lang w:eastAsia="ru-RU"/>
        </w:rPr>
        <w:t xml:space="preserve"> за отчетный период</w:t>
      </w:r>
      <w:r w:rsidRPr="00071014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размещено 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>1</w:t>
      </w:r>
      <w:r w:rsidR="00927E7F">
        <w:rPr>
          <w:rFonts w:eastAsia="Times New Roman" w:cs="Times New Roman"/>
          <w:b/>
          <w:sz w:val="28"/>
          <w:szCs w:val="28"/>
          <w:lang w:eastAsia="ru-RU"/>
        </w:rPr>
        <w:t>0</w:t>
      </w:r>
      <w:r w:rsidRPr="009375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27E7F">
        <w:rPr>
          <w:rFonts w:eastAsia="Times New Roman" w:cs="Times New Roman"/>
          <w:sz w:val="28"/>
          <w:szCs w:val="28"/>
          <w:lang w:eastAsia="ru-RU"/>
        </w:rPr>
        <w:t>извещений</w:t>
      </w:r>
      <w:r>
        <w:rPr>
          <w:rFonts w:eastAsia="Times New Roman" w:cs="Times New Roman"/>
          <w:sz w:val="28"/>
          <w:szCs w:val="28"/>
          <w:lang w:eastAsia="ru-RU"/>
        </w:rPr>
        <w:t xml:space="preserve"> о закупке,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3B1EE8">
        <w:rPr>
          <w:rFonts w:eastAsia="Times New Roman" w:cs="Times New Roman"/>
          <w:b/>
          <w:sz w:val="28"/>
          <w:szCs w:val="28"/>
          <w:lang w:eastAsia="ru-RU"/>
        </w:rPr>
        <w:t>3,8</w:t>
      </w:r>
      <w:r w:rsidR="000D456D">
        <w:rPr>
          <w:rFonts w:eastAsia="Times New Roman" w:cs="Times New Roman"/>
          <w:b/>
          <w:sz w:val="28"/>
          <w:szCs w:val="28"/>
          <w:lang w:eastAsia="ru-RU"/>
        </w:rPr>
        <w:t>6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извещений,</w:t>
      </w:r>
      <w:r w:rsidR="004F27E8">
        <w:rPr>
          <w:rFonts w:eastAsia="Times New Roman" w:cs="Times New Roman"/>
          <w:sz w:val="28"/>
          <w:szCs w:val="28"/>
          <w:lang w:eastAsia="ru-RU"/>
        </w:rPr>
        <w:t xml:space="preserve"> в котором</w:t>
      </w:r>
      <w:r>
        <w:rPr>
          <w:rFonts w:eastAsia="Times New Roman" w:cs="Times New Roman"/>
          <w:sz w:val="28"/>
          <w:szCs w:val="28"/>
          <w:lang w:eastAsia="ru-RU"/>
        </w:rPr>
        <w:t xml:space="preserve"> установлено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</w:t>
      </w:r>
      <w:r w:rsidR="0019775F">
        <w:rPr>
          <w:rFonts w:eastAsia="Times New Roman" w:cs="Times New Roman"/>
          <w:sz w:val="28"/>
          <w:szCs w:val="28"/>
          <w:lang w:eastAsia="ru-RU"/>
        </w:rPr>
        <w:t>. Д</w:t>
      </w:r>
      <w:r w:rsidR="00B44A06">
        <w:rPr>
          <w:rFonts w:eastAsia="Times New Roman" w:cs="Times New Roman"/>
          <w:sz w:val="28"/>
          <w:szCs w:val="28"/>
          <w:lang w:eastAsia="ru-RU"/>
        </w:rPr>
        <w:t xml:space="preserve">анное требование устанавливается </w:t>
      </w:r>
      <w:r w:rsidR="00B44A06" w:rsidRPr="00B44A06">
        <w:rPr>
          <w:rFonts w:eastAsia="Times New Roman" w:cs="Times New Roman"/>
          <w:sz w:val="28"/>
          <w:szCs w:val="28"/>
          <w:lang w:eastAsia="ru-RU"/>
        </w:rPr>
        <w:t>при проведении закупок с начальной (максимальной) ценой свыше 20 000,00 тыс. руб. в соответствии с ч. 1 ст. 30 Закона о контрактной системе</w:t>
      </w:r>
      <w:r w:rsidR="00B44A06">
        <w:rPr>
          <w:rFonts w:eastAsia="Times New Roman" w:cs="Times New Roman"/>
          <w:sz w:val="28"/>
          <w:szCs w:val="28"/>
          <w:lang w:eastAsia="ru-RU"/>
        </w:rPr>
        <w:t>.</w:t>
      </w:r>
    </w:p>
    <w:p w:rsidR="00BA0720" w:rsidRDefault="00BA0720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начальных максимальных цен контрактов</w:t>
      </w:r>
      <w:r w:rsidR="0098538C">
        <w:rPr>
          <w:rFonts w:eastAsia="Times New Roman" w:cs="Times New Roman"/>
          <w:sz w:val="28"/>
          <w:szCs w:val="28"/>
          <w:lang w:eastAsia="ru-RU"/>
        </w:rPr>
        <w:t>,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объявленных состоявшихся конкур</w:t>
      </w:r>
      <w:r w:rsidR="000B3A3F">
        <w:rPr>
          <w:rFonts w:eastAsia="Times New Roman" w:cs="Times New Roman"/>
          <w:sz w:val="28"/>
          <w:szCs w:val="28"/>
          <w:lang w:eastAsia="ru-RU"/>
        </w:rPr>
        <w:t>ентных</w:t>
      </w:r>
      <w:r>
        <w:rPr>
          <w:rFonts w:eastAsia="Times New Roman" w:cs="Times New Roman"/>
          <w:sz w:val="28"/>
          <w:szCs w:val="28"/>
          <w:lang w:eastAsia="ru-RU"/>
        </w:rPr>
        <w:t xml:space="preserve"> процедур с </w:t>
      </w:r>
      <w:r w:rsidR="00F34C5D">
        <w:rPr>
          <w:rFonts w:eastAsia="Times New Roman" w:cs="Times New Roman"/>
          <w:sz w:val="28"/>
          <w:szCs w:val="28"/>
          <w:lang w:eastAsia="ru-RU"/>
        </w:rPr>
        <w:t>условием о привлечении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A0720">
        <w:rPr>
          <w:rFonts w:eastAsia="Times New Roman" w:cs="Times New Roman"/>
          <w:sz w:val="28"/>
          <w:szCs w:val="28"/>
          <w:lang w:eastAsia="ru-RU"/>
        </w:rPr>
        <w:t>субъектов малого 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составила </w:t>
      </w:r>
      <w:r w:rsidR="009375A6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D456D">
        <w:rPr>
          <w:rFonts w:eastAsia="Times New Roman" w:cs="Times New Roman"/>
          <w:b/>
          <w:sz w:val="28"/>
          <w:szCs w:val="28"/>
          <w:lang w:eastAsia="ru-RU"/>
        </w:rPr>
        <w:t>1 284 001 876,37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375A6" w:rsidRPr="009375A6">
        <w:rPr>
          <w:rFonts w:eastAsia="Times New Roman" w:cs="Times New Roman"/>
          <w:b/>
          <w:sz w:val="28"/>
          <w:szCs w:val="28"/>
          <w:lang w:eastAsia="ru-RU"/>
        </w:rPr>
        <w:t>руб.</w:t>
      </w:r>
    </w:p>
    <w:p w:rsidR="0048556F" w:rsidRDefault="00BA0720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цен заключенных контрактов по результатам проведения кон</w:t>
      </w:r>
      <w:r w:rsidR="000B3A3F">
        <w:rPr>
          <w:rFonts w:eastAsia="Times New Roman" w:cs="Times New Roman"/>
          <w:sz w:val="28"/>
          <w:szCs w:val="28"/>
          <w:lang w:eastAsia="ru-RU"/>
        </w:rPr>
        <w:t>курентных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процедур с учетом привлечения  субъектов малого 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75F0">
        <w:rPr>
          <w:rFonts w:eastAsia="Times New Roman" w:cs="Times New Roman"/>
          <w:sz w:val="28"/>
          <w:szCs w:val="28"/>
          <w:lang w:eastAsia="ru-RU"/>
        </w:rPr>
        <w:t>–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7175F0">
        <w:rPr>
          <w:rFonts w:eastAsia="Times New Roman" w:cs="Times New Roman"/>
          <w:b/>
          <w:sz w:val="28"/>
          <w:szCs w:val="28"/>
          <w:lang w:eastAsia="ru-RU"/>
        </w:rPr>
        <w:t xml:space="preserve">1 197 532 110,76 </w:t>
      </w:r>
      <w:r w:rsidR="001D6391" w:rsidRPr="007F6569">
        <w:rPr>
          <w:rFonts w:eastAsia="Times New Roman" w:cs="Times New Roman"/>
          <w:b/>
          <w:sz w:val="28"/>
          <w:szCs w:val="28"/>
          <w:lang w:eastAsia="ru-RU"/>
        </w:rPr>
        <w:t>руб.</w:t>
      </w:r>
    </w:p>
    <w:p w:rsidR="00F95F95" w:rsidRPr="00C479DE" w:rsidRDefault="00F95F95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C1839" w:rsidRPr="00EB155F" w:rsidRDefault="00EB155F" w:rsidP="002C1839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EB155F">
        <w:rPr>
          <w:rFonts w:eastAsia="Times New Roman" w:cs="Times New Roman"/>
          <w:b/>
          <w:sz w:val="28"/>
          <w:szCs w:val="28"/>
          <w:lang w:eastAsia="ru-RU"/>
        </w:rPr>
        <w:t>Диаграмма №5</w:t>
      </w:r>
    </w:p>
    <w:p w:rsidR="00DD3811" w:rsidRPr="00D5178C" w:rsidRDefault="00904187" w:rsidP="00BF5719">
      <w:pPr>
        <w:spacing w:after="0" w:line="240" w:lineRule="auto"/>
        <w:ind w:left="72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81CB72" wp14:editId="2ECFC76A">
            <wp:extent cx="5238750" cy="35433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155F" w:rsidRPr="00DD3811" w:rsidRDefault="00DD3811" w:rsidP="00DD3811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720B">
        <w:rPr>
          <w:rFonts w:eastAsia="Times New Roman" w:cs="Times New Roman"/>
          <w:sz w:val="28"/>
          <w:szCs w:val="28"/>
          <w:lang w:eastAsia="ru-RU"/>
        </w:rPr>
        <w:t>По результатам закупок, участниками которых могли быть только СМП, СОНКО, извещения об осуществле</w:t>
      </w:r>
      <w:r w:rsidR="00326DF3" w:rsidRPr="006E720B">
        <w:rPr>
          <w:rFonts w:eastAsia="Times New Roman" w:cs="Times New Roman"/>
          <w:sz w:val="28"/>
          <w:szCs w:val="28"/>
          <w:lang w:eastAsia="ru-RU"/>
        </w:rPr>
        <w:t>н</w:t>
      </w:r>
      <w:r w:rsidR="00904187">
        <w:rPr>
          <w:rFonts w:eastAsia="Times New Roman" w:cs="Times New Roman"/>
          <w:sz w:val="28"/>
          <w:szCs w:val="28"/>
          <w:lang w:eastAsia="ru-RU"/>
        </w:rPr>
        <w:t>ии которых размещены в ЕИС за 6 месяцев</w:t>
      </w:r>
      <w:r w:rsidR="00204D0A">
        <w:rPr>
          <w:rFonts w:eastAsia="Times New Roman" w:cs="Times New Roman"/>
          <w:sz w:val="28"/>
          <w:szCs w:val="28"/>
          <w:lang w:eastAsia="ru-RU"/>
        </w:rPr>
        <w:t xml:space="preserve"> 2023</w:t>
      </w:r>
      <w:r w:rsidR="0070777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07771">
        <w:rPr>
          <w:rFonts w:eastAsia="Times New Roman" w:cs="Times New Roman"/>
          <w:sz w:val="28"/>
          <w:szCs w:val="28"/>
          <w:lang w:eastAsia="ru-RU"/>
        </w:rPr>
        <w:lastRenderedPageBreak/>
        <w:t>года, заказчиками заключено 196</w:t>
      </w:r>
      <w:r w:rsidR="00764D2C">
        <w:rPr>
          <w:rFonts w:eastAsia="Times New Roman" w:cs="Times New Roman"/>
          <w:sz w:val="28"/>
          <w:szCs w:val="28"/>
          <w:lang w:eastAsia="ru-RU"/>
        </w:rPr>
        <w:t xml:space="preserve"> контрактов,</w:t>
      </w:r>
      <w:r w:rsidR="0098538C" w:rsidRPr="006E720B">
        <w:rPr>
          <w:rFonts w:eastAsia="Times New Roman" w:cs="Times New Roman"/>
          <w:sz w:val="28"/>
          <w:szCs w:val="28"/>
          <w:lang w:eastAsia="ru-RU"/>
        </w:rPr>
        <w:t xml:space="preserve"> ч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то </w:t>
      </w:r>
      <w:r w:rsidRPr="007E02A5">
        <w:rPr>
          <w:rFonts w:eastAsia="Times New Roman" w:cs="Times New Roman"/>
          <w:sz w:val="28"/>
          <w:szCs w:val="28"/>
          <w:lang w:eastAsia="ru-RU"/>
        </w:rPr>
        <w:t>составляет (</w:t>
      </w:r>
      <w:r w:rsidR="007E02A5" w:rsidRPr="007E02A5">
        <w:rPr>
          <w:rFonts w:eastAsia="Times New Roman" w:cs="Times New Roman"/>
          <w:b/>
          <w:sz w:val="28"/>
          <w:szCs w:val="28"/>
          <w:lang w:eastAsia="ru-RU"/>
        </w:rPr>
        <w:t>85</w:t>
      </w:r>
      <w:r w:rsidR="00707771">
        <w:rPr>
          <w:rFonts w:eastAsia="Times New Roman" w:cs="Times New Roman"/>
          <w:b/>
          <w:sz w:val="28"/>
          <w:szCs w:val="28"/>
          <w:lang w:eastAsia="ru-RU"/>
        </w:rPr>
        <w:t>,5</w:t>
      </w:r>
      <w:r w:rsidR="007E02A5" w:rsidRPr="007E02A5">
        <w:rPr>
          <w:rFonts w:eastAsia="Times New Roman" w:cs="Times New Roman"/>
          <w:b/>
          <w:sz w:val="28"/>
          <w:szCs w:val="28"/>
          <w:lang w:eastAsia="ru-RU"/>
        </w:rPr>
        <w:t>9</w:t>
      </w:r>
      <w:r w:rsidRPr="007E02A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7E02A5">
        <w:rPr>
          <w:rFonts w:eastAsia="Times New Roman" w:cs="Times New Roman"/>
          <w:sz w:val="28"/>
          <w:szCs w:val="28"/>
          <w:lang w:eastAsia="ru-RU"/>
        </w:rPr>
        <w:t>), на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 сумму </w:t>
      </w:r>
      <w:r w:rsidR="00764D2C">
        <w:rPr>
          <w:rFonts w:eastAsia="Times New Roman" w:cs="Times New Roman"/>
          <w:b/>
          <w:sz w:val="28"/>
          <w:szCs w:val="28"/>
          <w:lang w:eastAsia="ru-RU"/>
        </w:rPr>
        <w:t>362 977 530,85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FE7BA3">
        <w:rPr>
          <w:rFonts w:eastAsia="Times New Roman" w:cs="Times New Roman"/>
          <w:b/>
          <w:sz w:val="28"/>
          <w:szCs w:val="28"/>
          <w:lang w:eastAsia="ru-RU"/>
        </w:rPr>
        <w:t>руб</w:t>
      </w:r>
      <w:r w:rsidRPr="00FE7BA3">
        <w:rPr>
          <w:rFonts w:eastAsia="Times New Roman" w:cs="Times New Roman"/>
          <w:sz w:val="28"/>
          <w:szCs w:val="28"/>
          <w:lang w:eastAsia="ru-RU"/>
        </w:rPr>
        <w:t>. (</w:t>
      </w:r>
      <w:r w:rsidR="00FE7BA3" w:rsidRPr="00FE7BA3">
        <w:rPr>
          <w:rFonts w:eastAsia="Times New Roman" w:cs="Times New Roman"/>
          <w:b/>
          <w:sz w:val="28"/>
          <w:szCs w:val="28"/>
          <w:lang w:eastAsia="ru-RU"/>
        </w:rPr>
        <w:t>21,24</w:t>
      </w:r>
      <w:r w:rsidRPr="00FE7BA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E7BA3">
        <w:rPr>
          <w:rFonts w:eastAsia="Times New Roman" w:cs="Times New Roman"/>
          <w:sz w:val="28"/>
          <w:szCs w:val="28"/>
          <w:lang w:eastAsia="ru-RU"/>
        </w:rPr>
        <w:t>)</w:t>
      </w:r>
      <w:r w:rsidRPr="00FE7BA3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DD3811" w:rsidRDefault="00DD3811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C428E9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268CF">
        <w:rPr>
          <w:rFonts w:eastAsia="Times New Roman" w:cs="Times New Roman"/>
          <w:b/>
          <w:sz w:val="28"/>
          <w:szCs w:val="28"/>
          <w:lang w:eastAsia="ru-RU"/>
        </w:rPr>
        <w:t>6</w:t>
      </w:r>
      <w:r w:rsidR="00190AE8" w:rsidRPr="009268CF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1D0E62" w:rsidRPr="009268CF">
        <w:rPr>
          <w:rFonts w:eastAsia="Times New Roman" w:cs="Times New Roman"/>
          <w:b/>
          <w:sz w:val="28"/>
          <w:szCs w:val="28"/>
          <w:lang w:eastAsia="ru-RU"/>
        </w:rPr>
        <w:t>ИФОРМАЦИЯ О ЗАКЛЮЧЕННЫХ КОНТРАКТАХ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DD3811" w:rsidP="00DD381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72F1">
        <w:rPr>
          <w:rFonts w:eastAsia="Times New Roman" w:cs="Times New Roman"/>
          <w:sz w:val="28"/>
          <w:szCs w:val="28"/>
          <w:lang w:eastAsia="ru-RU"/>
        </w:rPr>
        <w:t>По результатам осуществления закупок</w:t>
      </w:r>
      <w:r w:rsidR="004F27E8">
        <w:rPr>
          <w:rFonts w:eastAsia="Times New Roman" w:cs="Times New Roman"/>
          <w:sz w:val="28"/>
          <w:szCs w:val="28"/>
          <w:lang w:eastAsia="ru-RU"/>
        </w:rPr>
        <w:t xml:space="preserve"> в отчетном периоде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заказчиками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F27E8">
        <w:rPr>
          <w:rFonts w:eastAsia="Times New Roman" w:cs="Times New Roman"/>
          <w:sz w:val="28"/>
          <w:szCs w:val="28"/>
          <w:lang w:eastAsia="ru-RU"/>
        </w:rPr>
        <w:t>заключен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A5C0B">
        <w:rPr>
          <w:rFonts w:eastAsia="Times New Roman" w:cs="Times New Roman"/>
          <w:b/>
          <w:sz w:val="28"/>
          <w:szCs w:val="28"/>
          <w:lang w:eastAsia="ru-RU"/>
        </w:rPr>
        <w:t>229</w:t>
      </w:r>
      <w:r w:rsidR="00A968C9">
        <w:rPr>
          <w:rFonts w:eastAsia="Times New Roman" w:cs="Times New Roman"/>
          <w:sz w:val="28"/>
          <w:szCs w:val="28"/>
          <w:lang w:eastAsia="ru-RU"/>
        </w:rPr>
        <w:t xml:space="preserve"> контракт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 на общую сумму </w:t>
      </w:r>
      <w:r w:rsidR="00AD7CA7" w:rsidRPr="00AD7CA7">
        <w:rPr>
          <w:rFonts w:eastAsia="Times New Roman" w:cs="Times New Roman"/>
          <w:b/>
          <w:sz w:val="28"/>
          <w:szCs w:val="28"/>
          <w:lang w:eastAsia="ru-RU"/>
        </w:rPr>
        <w:t>1 712 223 623,90</w:t>
      </w:r>
      <w:r w:rsidR="00AD7C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B0568" w:rsidRPr="006D72F1">
        <w:rPr>
          <w:rFonts w:eastAsia="Times New Roman" w:cs="Times New Roman"/>
          <w:b/>
          <w:sz w:val="28"/>
          <w:szCs w:val="28"/>
          <w:lang w:eastAsia="ru-RU"/>
        </w:rPr>
        <w:t>руб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.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, что составило </w:t>
      </w:r>
      <w:r w:rsidR="00082CD0" w:rsidRPr="00EB0992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07208D" w:rsidRPr="00EB0992">
        <w:rPr>
          <w:rFonts w:eastAsia="Times New Roman" w:cs="Times New Roman"/>
          <w:b/>
          <w:sz w:val="28"/>
          <w:szCs w:val="28"/>
          <w:lang w:eastAsia="ru-RU"/>
        </w:rPr>
        <w:t>8</w:t>
      </w:r>
      <w:r w:rsidR="00EB0992" w:rsidRPr="00EB0992">
        <w:rPr>
          <w:rFonts w:eastAsia="Times New Roman" w:cs="Times New Roman"/>
          <w:b/>
          <w:sz w:val="28"/>
          <w:szCs w:val="28"/>
          <w:lang w:eastAsia="ru-RU"/>
        </w:rPr>
        <w:t>7</w:t>
      </w:r>
      <w:r w:rsidR="0007208D" w:rsidRPr="00EB0992">
        <w:rPr>
          <w:rFonts w:eastAsia="Times New Roman" w:cs="Times New Roman"/>
          <w:b/>
          <w:sz w:val="28"/>
          <w:szCs w:val="28"/>
          <w:lang w:eastAsia="ru-RU"/>
        </w:rPr>
        <w:t>,</w:t>
      </w:r>
      <w:r w:rsidR="00EB0992" w:rsidRPr="00EB0992">
        <w:rPr>
          <w:rFonts w:eastAsia="Times New Roman" w:cs="Times New Roman"/>
          <w:b/>
          <w:sz w:val="28"/>
          <w:szCs w:val="28"/>
          <w:lang w:eastAsia="ru-RU"/>
        </w:rPr>
        <w:t>74</w:t>
      </w:r>
      <w:r w:rsidR="00082CD0" w:rsidRPr="00EB0992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07208D">
        <w:rPr>
          <w:rFonts w:eastAsia="Times New Roman" w:cs="Times New Roman"/>
          <w:b/>
          <w:sz w:val="28"/>
          <w:szCs w:val="28"/>
          <w:lang w:eastAsia="ru-RU"/>
        </w:rPr>
        <w:t>89,15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 от общего количества</w:t>
      </w:r>
      <w:r w:rsidR="0008257F" w:rsidRPr="006D72F1">
        <w:rPr>
          <w:rFonts w:eastAsia="Times New Roman" w:cs="Times New Roman"/>
          <w:sz w:val="28"/>
          <w:szCs w:val="28"/>
          <w:lang w:eastAsia="ru-RU"/>
        </w:rPr>
        <w:t xml:space="preserve"> опубликованных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закупок.</w:t>
      </w:r>
    </w:p>
    <w:p w:rsidR="00D125C6" w:rsidRDefault="0049052C" w:rsidP="00BF5719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Абсолютная экономия составила – </w:t>
      </w:r>
      <w:r w:rsidR="00AD7CA7" w:rsidRPr="00AD7CA7">
        <w:rPr>
          <w:rFonts w:eastAsia="Times New Roman" w:cs="Times New Roman"/>
          <w:sz w:val="28"/>
          <w:szCs w:val="28"/>
          <w:lang w:eastAsia="ru-RU"/>
        </w:rPr>
        <w:t>208 503 139,08</w:t>
      </w:r>
      <w:r w:rsidR="00AD7CA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руб. или </w:t>
      </w:r>
      <w:r w:rsidR="00AD7CA7">
        <w:rPr>
          <w:rFonts w:eastAsia="Times New Roman" w:cs="Times New Roman"/>
          <w:b/>
          <w:sz w:val="28"/>
          <w:szCs w:val="28"/>
          <w:lang w:eastAsia="ru-RU"/>
        </w:rPr>
        <w:t>8,95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%.</w:t>
      </w:r>
    </w:p>
    <w:p w:rsidR="00BF5719" w:rsidRPr="00BF5719" w:rsidRDefault="00BF5719" w:rsidP="00BF5719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70726" w:rsidRDefault="00D125C6" w:rsidP="00D125C6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Диаграмма № 6</w:t>
      </w:r>
    </w:p>
    <w:p w:rsidR="00EC2B42" w:rsidRPr="0043542E" w:rsidRDefault="00EC2B42" w:rsidP="00D125C6">
      <w:pPr>
        <w:spacing w:after="0" w:line="240" w:lineRule="auto"/>
        <w:ind w:left="720"/>
        <w:jc w:val="right"/>
        <w:rPr>
          <w:rFonts w:eastAsia="Times New Roman" w:cs="Times New Roman"/>
          <w:b/>
          <w:sz w:val="20"/>
          <w:szCs w:val="28"/>
          <w:lang w:eastAsia="ru-RU"/>
        </w:rPr>
      </w:pPr>
    </w:p>
    <w:p w:rsidR="00EC2B42" w:rsidRPr="00EC2B42" w:rsidRDefault="00EC2B42" w:rsidP="00EC2B42">
      <w:pPr>
        <w:spacing w:after="0" w:line="240" w:lineRule="auto"/>
        <w:ind w:left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C2B42">
        <w:rPr>
          <w:rFonts w:eastAsia="Times New Roman" w:cs="Times New Roman"/>
          <w:sz w:val="28"/>
          <w:szCs w:val="28"/>
          <w:lang w:eastAsia="ru-RU"/>
        </w:rPr>
        <w:t>Количество заключенных контрактов в разрезе заказчиков, шт.</w:t>
      </w:r>
    </w:p>
    <w:p w:rsidR="003C7613" w:rsidRDefault="00EC2B42" w:rsidP="003C7613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673E4D8" wp14:editId="2AB2FE70">
            <wp:extent cx="6753225" cy="78105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5719" w:rsidRDefault="00BF5719" w:rsidP="00BF5719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33A27" w:rsidRDefault="008319AB" w:rsidP="003C7613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Диаграмма №7</w:t>
      </w:r>
    </w:p>
    <w:p w:rsidR="00760A56" w:rsidRPr="00760A56" w:rsidRDefault="00760A56" w:rsidP="00760A5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60A56">
        <w:rPr>
          <w:rFonts w:eastAsia="Times New Roman" w:cs="Times New Roman"/>
          <w:sz w:val="28"/>
          <w:szCs w:val="28"/>
          <w:lang w:eastAsia="ru-RU"/>
        </w:rPr>
        <w:t>Сумма заключенных контрактов в разрезе заказчиков, млн.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0A56">
        <w:rPr>
          <w:rFonts w:eastAsia="Times New Roman" w:cs="Times New Roman"/>
          <w:sz w:val="28"/>
          <w:szCs w:val="28"/>
          <w:lang w:eastAsia="ru-RU"/>
        </w:rPr>
        <w:t>руб.</w:t>
      </w:r>
    </w:p>
    <w:p w:rsidR="00760A56" w:rsidRDefault="00760A56" w:rsidP="00760A5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7E7683" w:rsidRDefault="00760A56" w:rsidP="00E33A27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42292F3" wp14:editId="584FEB57">
            <wp:extent cx="6648450" cy="80295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E7683" w:rsidRDefault="007E7683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7E7683" w:rsidRDefault="007E7683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7</w:t>
      </w:r>
      <w:r w:rsidRPr="0000205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Pr="007E7683">
        <w:rPr>
          <w:rFonts w:eastAsia="Times New Roman" w:cs="Times New Roman"/>
          <w:b/>
          <w:sz w:val="28"/>
          <w:szCs w:val="28"/>
          <w:lang w:eastAsia="ru-RU"/>
        </w:rPr>
        <w:t>ЖАЛОБ</w:t>
      </w:r>
      <w:r>
        <w:rPr>
          <w:rFonts w:eastAsia="Times New Roman" w:cs="Times New Roman"/>
          <w:b/>
          <w:sz w:val="28"/>
          <w:szCs w:val="28"/>
          <w:lang w:eastAsia="ru-RU"/>
        </w:rPr>
        <w:t>Ы, ПОДАННЫЕ</w:t>
      </w:r>
      <w:r w:rsidRPr="007E7683">
        <w:rPr>
          <w:rFonts w:eastAsia="Times New Roman" w:cs="Times New Roman"/>
          <w:b/>
          <w:sz w:val="28"/>
          <w:szCs w:val="28"/>
          <w:lang w:eastAsia="ru-RU"/>
        </w:rPr>
        <w:t xml:space="preserve"> УЧАСТНИКАМИ ЗАКУ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ПОК </w:t>
      </w:r>
      <w:r w:rsidR="008F1CF0">
        <w:rPr>
          <w:rFonts w:eastAsia="Times New Roman" w:cs="Times New Roman"/>
          <w:b/>
          <w:sz w:val="28"/>
          <w:szCs w:val="28"/>
          <w:lang w:eastAsia="ru-RU"/>
        </w:rPr>
        <w:t xml:space="preserve">В 1 </w:t>
      </w:r>
      <w:r w:rsidR="005B41BB">
        <w:rPr>
          <w:rFonts w:eastAsia="Times New Roman" w:cs="Times New Roman"/>
          <w:b/>
          <w:sz w:val="28"/>
          <w:szCs w:val="28"/>
          <w:lang w:eastAsia="ru-RU"/>
        </w:rPr>
        <w:t>ПОЛУГОДИИ</w:t>
      </w:r>
      <w:r w:rsidR="008F1CF0">
        <w:rPr>
          <w:rFonts w:eastAsia="Times New Roman" w:cs="Times New Roman"/>
          <w:b/>
          <w:sz w:val="28"/>
          <w:szCs w:val="28"/>
          <w:lang w:eastAsia="ru-RU"/>
        </w:rPr>
        <w:t xml:space="preserve"> 2023</w:t>
      </w:r>
      <w:r w:rsidR="00A62718">
        <w:rPr>
          <w:rFonts w:eastAsia="Times New Roman" w:cs="Times New Roman"/>
          <w:b/>
          <w:sz w:val="28"/>
          <w:szCs w:val="28"/>
          <w:lang w:eastAsia="ru-RU"/>
        </w:rPr>
        <w:t xml:space="preserve"> ГОДА</w:t>
      </w:r>
    </w:p>
    <w:p w:rsidR="006640EB" w:rsidRDefault="006640EB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3F4649" w:rsidRDefault="008F1CF0" w:rsidP="008F1CF0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</w:t>
      </w:r>
      <w:r w:rsidR="00381A0A">
        <w:rPr>
          <w:rFonts w:eastAsia="Times New Roman" w:cs="Times New Roman"/>
          <w:sz w:val="28"/>
          <w:szCs w:val="28"/>
          <w:lang w:eastAsia="ru-RU"/>
        </w:rPr>
        <w:t xml:space="preserve">а отчетный период по </w:t>
      </w:r>
      <w:r w:rsidR="00346C11">
        <w:rPr>
          <w:rFonts w:eastAsia="Times New Roman" w:cs="Times New Roman"/>
          <w:sz w:val="28"/>
          <w:szCs w:val="28"/>
          <w:lang w:eastAsia="ru-RU"/>
        </w:rPr>
        <w:t>261 извещению</w:t>
      </w:r>
      <w:r w:rsidR="00381A0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D206F">
        <w:rPr>
          <w:rFonts w:eastAsia="Times New Roman" w:cs="Times New Roman"/>
          <w:sz w:val="28"/>
          <w:szCs w:val="28"/>
          <w:lang w:eastAsia="ru-RU"/>
        </w:rPr>
        <w:t xml:space="preserve">было подано </w:t>
      </w:r>
      <w:r w:rsidR="00F56634">
        <w:rPr>
          <w:rFonts w:eastAsia="Times New Roman" w:cs="Times New Roman"/>
          <w:sz w:val="28"/>
          <w:szCs w:val="28"/>
          <w:lang w:eastAsia="ru-RU"/>
        </w:rPr>
        <w:t>5</w:t>
      </w:r>
      <w:r w:rsidR="000D206F">
        <w:rPr>
          <w:rFonts w:eastAsia="Times New Roman" w:cs="Times New Roman"/>
          <w:sz w:val="28"/>
          <w:szCs w:val="28"/>
          <w:lang w:eastAsia="ru-RU"/>
        </w:rPr>
        <w:t xml:space="preserve"> жалоб</w:t>
      </w:r>
      <w:r w:rsidR="00F56634">
        <w:rPr>
          <w:rFonts w:eastAsia="Times New Roman" w:cs="Times New Roman"/>
          <w:sz w:val="28"/>
          <w:szCs w:val="28"/>
          <w:lang w:eastAsia="ru-RU"/>
        </w:rPr>
        <w:t>, что составило 2</w:t>
      </w:r>
      <w:r>
        <w:rPr>
          <w:rFonts w:eastAsia="Times New Roman" w:cs="Times New Roman"/>
          <w:sz w:val="28"/>
          <w:szCs w:val="28"/>
          <w:lang w:eastAsia="ru-RU"/>
        </w:rPr>
        <w:t>% от общего количества закупок.</w:t>
      </w:r>
    </w:p>
    <w:p w:rsidR="00EF0FD7" w:rsidRPr="00275CA4" w:rsidRDefault="005A6FFE" w:rsidP="00932E3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№5</w:t>
      </w:r>
    </w:p>
    <w:tbl>
      <w:tblPr>
        <w:tblStyle w:val="ac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2835"/>
        <w:gridCol w:w="1984"/>
      </w:tblGrid>
      <w:tr w:rsidR="00EF0FD7" w:rsidRPr="0090324A" w:rsidTr="005A2E65">
        <w:trPr>
          <w:trHeight w:val="699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закупки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Кол-во жалоб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жалобы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Результат рассмотрения</w:t>
            </w:r>
          </w:p>
        </w:tc>
      </w:tr>
      <w:tr w:rsidR="00EF0FD7" w:rsidRPr="0090324A" w:rsidTr="005A2E65">
        <w:trPr>
          <w:trHeight w:val="7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FD7" w:rsidRPr="0090324A" w:rsidTr="005A2E65">
        <w:tc>
          <w:tcPr>
            <w:tcW w:w="709" w:type="dxa"/>
            <w:vAlign w:val="center"/>
          </w:tcPr>
          <w:p w:rsidR="00EF0FD7" w:rsidRPr="0090324A" w:rsidRDefault="008F1CF0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EF0FD7" w:rsidRPr="0090324A" w:rsidRDefault="00EF0FD7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услуг по организации отдыха детей в санаториях и санаторных оздоровительных лагерях</w:t>
            </w:r>
          </w:p>
        </w:tc>
        <w:tc>
          <w:tcPr>
            <w:tcW w:w="1276" w:type="dxa"/>
            <w:vAlign w:val="center"/>
          </w:tcPr>
          <w:p w:rsidR="00EF0FD7" w:rsidRPr="0090324A" w:rsidRDefault="008F1CF0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EF0FD7" w:rsidRPr="0090324A" w:rsidRDefault="00EF0FD7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требования к участнику о наличии в реестре организаций отдыха детей и их оздоровления</w:t>
            </w:r>
          </w:p>
        </w:tc>
        <w:tc>
          <w:tcPr>
            <w:tcW w:w="1984" w:type="dxa"/>
            <w:vAlign w:val="center"/>
          </w:tcPr>
          <w:p w:rsidR="00EF0FD7" w:rsidRPr="0090324A" w:rsidRDefault="00EE491A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 необоснованной</w:t>
            </w:r>
          </w:p>
        </w:tc>
      </w:tr>
      <w:tr w:rsidR="00F63811" w:rsidRPr="0090324A" w:rsidTr="005A2E65">
        <w:tc>
          <w:tcPr>
            <w:tcW w:w="709" w:type="dxa"/>
            <w:vAlign w:val="center"/>
          </w:tcPr>
          <w:p w:rsidR="00F63811" w:rsidRDefault="00F63811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:rsidR="00F63811" w:rsidRPr="0090324A" w:rsidRDefault="008D357D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комплексному обследованию с проведением инженерных изысканий и технического обследования строительных конструкций гидротехнических сооружений Балтымского водохранилища на реке Балтым</w:t>
            </w:r>
          </w:p>
        </w:tc>
        <w:tc>
          <w:tcPr>
            <w:tcW w:w="1276" w:type="dxa"/>
            <w:vAlign w:val="center"/>
          </w:tcPr>
          <w:p w:rsidR="00F63811" w:rsidRDefault="00F56634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F63811" w:rsidRPr="0090324A" w:rsidRDefault="008D357D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>жалоба на действия оператора ЭТП</w:t>
            </w:r>
          </w:p>
        </w:tc>
        <w:tc>
          <w:tcPr>
            <w:tcW w:w="1984" w:type="dxa"/>
            <w:vAlign w:val="center"/>
          </w:tcPr>
          <w:p w:rsidR="00F63811" w:rsidRDefault="008D357D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 необоснованной</w:t>
            </w:r>
          </w:p>
        </w:tc>
      </w:tr>
      <w:tr w:rsidR="00F63811" w:rsidRPr="0090324A" w:rsidTr="005A2E65">
        <w:tc>
          <w:tcPr>
            <w:tcW w:w="709" w:type="dxa"/>
            <w:vAlign w:val="center"/>
          </w:tcPr>
          <w:p w:rsidR="00F63811" w:rsidRDefault="00F63811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vAlign w:val="center"/>
          </w:tcPr>
          <w:p w:rsidR="00F63811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4249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услуг по ликвидации мест несанкционированного размещения отходов (отработанные автомобильные шины) на территории ГО Верхняя Пышма</w:t>
            </w:r>
          </w:p>
        </w:tc>
        <w:tc>
          <w:tcPr>
            <w:tcW w:w="1276" w:type="dxa"/>
            <w:vAlign w:val="center"/>
          </w:tcPr>
          <w:p w:rsidR="00F63811" w:rsidRDefault="00F56634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F63811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>жалоба на действия оператора ЭТП</w:t>
            </w:r>
          </w:p>
        </w:tc>
        <w:tc>
          <w:tcPr>
            <w:tcW w:w="1984" w:type="dxa"/>
            <w:vAlign w:val="center"/>
          </w:tcPr>
          <w:p w:rsidR="00F63811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 необоснованной</w:t>
            </w:r>
          </w:p>
        </w:tc>
      </w:tr>
      <w:tr w:rsidR="004C0935" w:rsidRPr="0090324A" w:rsidTr="005A2E65">
        <w:tc>
          <w:tcPr>
            <w:tcW w:w="709" w:type="dxa"/>
            <w:vAlign w:val="center"/>
          </w:tcPr>
          <w:p w:rsidR="004C0935" w:rsidRDefault="004C0935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:rsidR="004C0935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4249">
              <w:rPr>
                <w:rFonts w:eastAsia="Times New Roman" w:cs="Times New Roman"/>
                <w:sz w:val="24"/>
                <w:szCs w:val="24"/>
                <w:lang w:eastAsia="ru-RU"/>
              </w:rPr>
              <w:t>Поставка текстильной сувенирной продукции</w:t>
            </w:r>
          </w:p>
        </w:tc>
        <w:tc>
          <w:tcPr>
            <w:tcW w:w="1276" w:type="dxa"/>
            <w:vAlign w:val="center"/>
          </w:tcPr>
          <w:p w:rsidR="004C0935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4C0935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074249">
              <w:rPr>
                <w:rFonts w:eastAsia="Times New Roman" w:cs="Times New Roman"/>
                <w:sz w:val="24"/>
                <w:szCs w:val="24"/>
                <w:lang w:eastAsia="ru-RU"/>
              </w:rPr>
              <w:t>е правомерное отклонение заявки</w:t>
            </w:r>
          </w:p>
        </w:tc>
        <w:tc>
          <w:tcPr>
            <w:tcW w:w="1984" w:type="dxa"/>
            <w:vAlign w:val="center"/>
          </w:tcPr>
          <w:p w:rsidR="004C0935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 обоснованной. Наз</w:t>
            </w:r>
            <w:r w:rsidR="00EA42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начены рассмотрения обжалований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решений в суде </w:t>
            </w:r>
          </w:p>
        </w:tc>
      </w:tr>
    </w:tbl>
    <w:p w:rsidR="008A7389" w:rsidRPr="007E7683" w:rsidRDefault="008A7389" w:rsidP="007E7683">
      <w:pPr>
        <w:tabs>
          <w:tab w:val="left" w:pos="971"/>
        </w:tabs>
        <w:rPr>
          <w:rFonts w:eastAsia="Times New Roman" w:cs="Times New Roman"/>
          <w:sz w:val="28"/>
          <w:szCs w:val="28"/>
          <w:lang w:eastAsia="ru-RU"/>
        </w:rPr>
      </w:pPr>
    </w:p>
    <w:sectPr w:rsidR="008A7389" w:rsidRPr="007E7683" w:rsidSect="0090324A">
      <w:headerReference w:type="default" r:id="rId15"/>
      <w:pgSz w:w="11906" w:h="16838"/>
      <w:pgMar w:top="720" w:right="720" w:bottom="1276" w:left="72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034" w:rsidRDefault="00006034" w:rsidP="00CA7742">
      <w:pPr>
        <w:spacing w:after="0" w:line="240" w:lineRule="auto"/>
      </w:pPr>
      <w:r>
        <w:separator/>
      </w:r>
    </w:p>
  </w:endnote>
  <w:endnote w:type="continuationSeparator" w:id="0">
    <w:p w:rsidR="00006034" w:rsidRDefault="00006034" w:rsidP="00CA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034" w:rsidRDefault="00006034" w:rsidP="00CA7742">
      <w:pPr>
        <w:spacing w:after="0" w:line="240" w:lineRule="auto"/>
      </w:pPr>
      <w:r>
        <w:separator/>
      </w:r>
    </w:p>
  </w:footnote>
  <w:footnote w:type="continuationSeparator" w:id="0">
    <w:p w:rsidR="00006034" w:rsidRDefault="00006034" w:rsidP="00CA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096925"/>
      <w:docPartObj>
        <w:docPartGallery w:val="Page Numbers (Top of Page)"/>
        <w:docPartUnique/>
      </w:docPartObj>
    </w:sdtPr>
    <w:sdtEndPr/>
    <w:sdtContent>
      <w:p w:rsidR="00CA7742" w:rsidRDefault="00CA7742">
        <w:pPr>
          <w:pStyle w:val="af"/>
          <w:jc w:val="center"/>
        </w:pPr>
        <w:r w:rsidRPr="00CA7742">
          <w:rPr>
            <w:sz w:val="24"/>
            <w:szCs w:val="24"/>
          </w:rPr>
          <w:fldChar w:fldCharType="begin"/>
        </w:r>
        <w:r w:rsidRPr="00CA7742">
          <w:rPr>
            <w:sz w:val="24"/>
            <w:szCs w:val="24"/>
          </w:rPr>
          <w:instrText>PAGE   \* MERGEFORMAT</w:instrText>
        </w:r>
        <w:r w:rsidRPr="00CA7742">
          <w:rPr>
            <w:sz w:val="24"/>
            <w:szCs w:val="24"/>
          </w:rPr>
          <w:fldChar w:fldCharType="separate"/>
        </w:r>
        <w:r w:rsidR="00A60826">
          <w:rPr>
            <w:noProof/>
            <w:sz w:val="24"/>
            <w:szCs w:val="24"/>
          </w:rPr>
          <w:t>2</w:t>
        </w:r>
        <w:r w:rsidRPr="00CA7742">
          <w:rPr>
            <w:sz w:val="24"/>
            <w:szCs w:val="24"/>
          </w:rPr>
          <w:fldChar w:fldCharType="end"/>
        </w:r>
      </w:p>
    </w:sdtContent>
  </w:sdt>
  <w:p w:rsidR="00CA7742" w:rsidRDefault="00CA774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2C"/>
    <w:rsid w:val="00002058"/>
    <w:rsid w:val="00006034"/>
    <w:rsid w:val="00006784"/>
    <w:rsid w:val="00007739"/>
    <w:rsid w:val="00012DBE"/>
    <w:rsid w:val="000148D8"/>
    <w:rsid w:val="00021308"/>
    <w:rsid w:val="0003416B"/>
    <w:rsid w:val="00041675"/>
    <w:rsid w:val="000455AE"/>
    <w:rsid w:val="000639EB"/>
    <w:rsid w:val="00064C0C"/>
    <w:rsid w:val="00071014"/>
    <w:rsid w:val="0007208D"/>
    <w:rsid w:val="00074100"/>
    <w:rsid w:val="00074249"/>
    <w:rsid w:val="00077998"/>
    <w:rsid w:val="0008257F"/>
    <w:rsid w:val="00082B41"/>
    <w:rsid w:val="00082CD0"/>
    <w:rsid w:val="00082EBB"/>
    <w:rsid w:val="0008710C"/>
    <w:rsid w:val="000960CF"/>
    <w:rsid w:val="00096316"/>
    <w:rsid w:val="000A0A6B"/>
    <w:rsid w:val="000B3A3F"/>
    <w:rsid w:val="000B49F5"/>
    <w:rsid w:val="000B70E1"/>
    <w:rsid w:val="000C2A8C"/>
    <w:rsid w:val="000C45E3"/>
    <w:rsid w:val="000C66B9"/>
    <w:rsid w:val="000D206F"/>
    <w:rsid w:val="000D456D"/>
    <w:rsid w:val="000D6B42"/>
    <w:rsid w:val="001029E9"/>
    <w:rsid w:val="00105405"/>
    <w:rsid w:val="001110B3"/>
    <w:rsid w:val="0011722E"/>
    <w:rsid w:val="001211C5"/>
    <w:rsid w:val="00143AA4"/>
    <w:rsid w:val="00145BA1"/>
    <w:rsid w:val="001513CC"/>
    <w:rsid w:val="0015349E"/>
    <w:rsid w:val="00155E1B"/>
    <w:rsid w:val="00156C5C"/>
    <w:rsid w:val="001570C9"/>
    <w:rsid w:val="00157133"/>
    <w:rsid w:val="00162937"/>
    <w:rsid w:val="001731B8"/>
    <w:rsid w:val="00190AE8"/>
    <w:rsid w:val="001953FF"/>
    <w:rsid w:val="001972F9"/>
    <w:rsid w:val="0019775F"/>
    <w:rsid w:val="00197D73"/>
    <w:rsid w:val="001A5A03"/>
    <w:rsid w:val="001B3436"/>
    <w:rsid w:val="001C50BA"/>
    <w:rsid w:val="001C540F"/>
    <w:rsid w:val="001D0E62"/>
    <w:rsid w:val="001D3B55"/>
    <w:rsid w:val="001D6391"/>
    <w:rsid w:val="001E65AD"/>
    <w:rsid w:val="001E7AFE"/>
    <w:rsid w:val="001F4CE2"/>
    <w:rsid w:val="00204D0A"/>
    <w:rsid w:val="0020610D"/>
    <w:rsid w:val="00211997"/>
    <w:rsid w:val="00211A09"/>
    <w:rsid w:val="00212BBB"/>
    <w:rsid w:val="002135DC"/>
    <w:rsid w:val="00220F60"/>
    <w:rsid w:val="00231FB1"/>
    <w:rsid w:val="00237886"/>
    <w:rsid w:val="002415F0"/>
    <w:rsid w:val="002461E7"/>
    <w:rsid w:val="00250361"/>
    <w:rsid w:val="002517EF"/>
    <w:rsid w:val="00254521"/>
    <w:rsid w:val="00255A6D"/>
    <w:rsid w:val="00255D38"/>
    <w:rsid w:val="00262DDD"/>
    <w:rsid w:val="00264EF8"/>
    <w:rsid w:val="0026649F"/>
    <w:rsid w:val="00267138"/>
    <w:rsid w:val="00271267"/>
    <w:rsid w:val="002729E1"/>
    <w:rsid w:val="00275CA4"/>
    <w:rsid w:val="0027608D"/>
    <w:rsid w:val="00276BBC"/>
    <w:rsid w:val="002819B1"/>
    <w:rsid w:val="002968E7"/>
    <w:rsid w:val="002A23A8"/>
    <w:rsid w:val="002A7F42"/>
    <w:rsid w:val="002B17A1"/>
    <w:rsid w:val="002B7565"/>
    <w:rsid w:val="002C1160"/>
    <w:rsid w:val="002C1839"/>
    <w:rsid w:val="002D4005"/>
    <w:rsid w:val="002D7E6B"/>
    <w:rsid w:val="00307F8E"/>
    <w:rsid w:val="00311943"/>
    <w:rsid w:val="00326DF3"/>
    <w:rsid w:val="00330144"/>
    <w:rsid w:val="003306AE"/>
    <w:rsid w:val="00333F31"/>
    <w:rsid w:val="00340B38"/>
    <w:rsid w:val="003459DF"/>
    <w:rsid w:val="00346C11"/>
    <w:rsid w:val="00347011"/>
    <w:rsid w:val="0035263E"/>
    <w:rsid w:val="00353822"/>
    <w:rsid w:val="00354D05"/>
    <w:rsid w:val="00355CA7"/>
    <w:rsid w:val="00357F3F"/>
    <w:rsid w:val="00362EEF"/>
    <w:rsid w:val="003674DA"/>
    <w:rsid w:val="0036792D"/>
    <w:rsid w:val="00376DF1"/>
    <w:rsid w:val="00381A0A"/>
    <w:rsid w:val="003854D3"/>
    <w:rsid w:val="0038691B"/>
    <w:rsid w:val="0038730D"/>
    <w:rsid w:val="0039423C"/>
    <w:rsid w:val="003A2263"/>
    <w:rsid w:val="003A4238"/>
    <w:rsid w:val="003B1EE8"/>
    <w:rsid w:val="003B45FB"/>
    <w:rsid w:val="003B7D91"/>
    <w:rsid w:val="003C075B"/>
    <w:rsid w:val="003C7613"/>
    <w:rsid w:val="003D12A3"/>
    <w:rsid w:val="003D5D08"/>
    <w:rsid w:val="003D73B4"/>
    <w:rsid w:val="003D7E2E"/>
    <w:rsid w:val="003E452B"/>
    <w:rsid w:val="003E6CFE"/>
    <w:rsid w:val="003E7E3B"/>
    <w:rsid w:val="003F01E3"/>
    <w:rsid w:val="003F0CA7"/>
    <w:rsid w:val="003F3CBA"/>
    <w:rsid w:val="003F4649"/>
    <w:rsid w:val="00407B66"/>
    <w:rsid w:val="00410040"/>
    <w:rsid w:val="004102C8"/>
    <w:rsid w:val="00413798"/>
    <w:rsid w:val="00414751"/>
    <w:rsid w:val="004215F0"/>
    <w:rsid w:val="0043481D"/>
    <w:rsid w:val="0043542E"/>
    <w:rsid w:val="0044778A"/>
    <w:rsid w:val="00454C57"/>
    <w:rsid w:val="00457BEB"/>
    <w:rsid w:val="00460655"/>
    <w:rsid w:val="0046141E"/>
    <w:rsid w:val="00474AE6"/>
    <w:rsid w:val="00475A56"/>
    <w:rsid w:val="00477A5A"/>
    <w:rsid w:val="004817F5"/>
    <w:rsid w:val="004848DE"/>
    <w:rsid w:val="0048556F"/>
    <w:rsid w:val="004865D4"/>
    <w:rsid w:val="0049052C"/>
    <w:rsid w:val="004917D2"/>
    <w:rsid w:val="004A422E"/>
    <w:rsid w:val="004B0365"/>
    <w:rsid w:val="004C0935"/>
    <w:rsid w:val="004C68D5"/>
    <w:rsid w:val="004E1EF1"/>
    <w:rsid w:val="004E6E87"/>
    <w:rsid w:val="004E73A3"/>
    <w:rsid w:val="004F27E8"/>
    <w:rsid w:val="004F78A7"/>
    <w:rsid w:val="00507BF7"/>
    <w:rsid w:val="00510015"/>
    <w:rsid w:val="005133DA"/>
    <w:rsid w:val="00514657"/>
    <w:rsid w:val="00514B72"/>
    <w:rsid w:val="005174E7"/>
    <w:rsid w:val="00517A21"/>
    <w:rsid w:val="00527393"/>
    <w:rsid w:val="00534E4B"/>
    <w:rsid w:val="0054066A"/>
    <w:rsid w:val="00541850"/>
    <w:rsid w:val="00542698"/>
    <w:rsid w:val="0055036E"/>
    <w:rsid w:val="00553EC9"/>
    <w:rsid w:val="00556977"/>
    <w:rsid w:val="005618EF"/>
    <w:rsid w:val="00573F9B"/>
    <w:rsid w:val="0058605F"/>
    <w:rsid w:val="005906E3"/>
    <w:rsid w:val="00590D21"/>
    <w:rsid w:val="00596614"/>
    <w:rsid w:val="005A2E65"/>
    <w:rsid w:val="005A6FFE"/>
    <w:rsid w:val="005B026F"/>
    <w:rsid w:val="005B41BB"/>
    <w:rsid w:val="005B6D1E"/>
    <w:rsid w:val="005B6D88"/>
    <w:rsid w:val="005C1B3E"/>
    <w:rsid w:val="005C5299"/>
    <w:rsid w:val="005C631E"/>
    <w:rsid w:val="005D76B3"/>
    <w:rsid w:val="005D78AB"/>
    <w:rsid w:val="005E5E08"/>
    <w:rsid w:val="005E6A96"/>
    <w:rsid w:val="005F11C7"/>
    <w:rsid w:val="005F2FBE"/>
    <w:rsid w:val="00604DC0"/>
    <w:rsid w:val="00605E54"/>
    <w:rsid w:val="00606223"/>
    <w:rsid w:val="00615A6A"/>
    <w:rsid w:val="00616D4C"/>
    <w:rsid w:val="00622DA1"/>
    <w:rsid w:val="00625A12"/>
    <w:rsid w:val="00631613"/>
    <w:rsid w:val="006332B5"/>
    <w:rsid w:val="0063611C"/>
    <w:rsid w:val="00640F2E"/>
    <w:rsid w:val="00641229"/>
    <w:rsid w:val="0065313B"/>
    <w:rsid w:val="00657FAE"/>
    <w:rsid w:val="0066308D"/>
    <w:rsid w:val="006640EB"/>
    <w:rsid w:val="006667F5"/>
    <w:rsid w:val="00673D59"/>
    <w:rsid w:val="00675E47"/>
    <w:rsid w:val="006B75B0"/>
    <w:rsid w:val="006C068A"/>
    <w:rsid w:val="006C6373"/>
    <w:rsid w:val="006D48A1"/>
    <w:rsid w:val="006D72F1"/>
    <w:rsid w:val="006E09CE"/>
    <w:rsid w:val="006E5D8B"/>
    <w:rsid w:val="006E720B"/>
    <w:rsid w:val="00707771"/>
    <w:rsid w:val="00712A2D"/>
    <w:rsid w:val="00713902"/>
    <w:rsid w:val="007175F0"/>
    <w:rsid w:val="0072093F"/>
    <w:rsid w:val="007209D1"/>
    <w:rsid w:val="007235AC"/>
    <w:rsid w:val="0073148E"/>
    <w:rsid w:val="00745370"/>
    <w:rsid w:val="00751C78"/>
    <w:rsid w:val="0075745A"/>
    <w:rsid w:val="00760A56"/>
    <w:rsid w:val="007634E9"/>
    <w:rsid w:val="00764B36"/>
    <w:rsid w:val="00764D2C"/>
    <w:rsid w:val="00764F80"/>
    <w:rsid w:val="007745D7"/>
    <w:rsid w:val="007956AB"/>
    <w:rsid w:val="00797CA9"/>
    <w:rsid w:val="007B4FE5"/>
    <w:rsid w:val="007C2F62"/>
    <w:rsid w:val="007C56EF"/>
    <w:rsid w:val="007D218E"/>
    <w:rsid w:val="007D62CD"/>
    <w:rsid w:val="007E02A5"/>
    <w:rsid w:val="007E09EC"/>
    <w:rsid w:val="007E1416"/>
    <w:rsid w:val="007E7683"/>
    <w:rsid w:val="007F2FC2"/>
    <w:rsid w:val="007F465F"/>
    <w:rsid w:val="007F6569"/>
    <w:rsid w:val="00801123"/>
    <w:rsid w:val="00804FA1"/>
    <w:rsid w:val="0080716D"/>
    <w:rsid w:val="008213A6"/>
    <w:rsid w:val="00826B49"/>
    <w:rsid w:val="008278F7"/>
    <w:rsid w:val="00827927"/>
    <w:rsid w:val="008303FF"/>
    <w:rsid w:val="00830A54"/>
    <w:rsid w:val="008319AB"/>
    <w:rsid w:val="00835AC0"/>
    <w:rsid w:val="00837922"/>
    <w:rsid w:val="00841917"/>
    <w:rsid w:val="008424EE"/>
    <w:rsid w:val="008460DE"/>
    <w:rsid w:val="00853CDA"/>
    <w:rsid w:val="00864A9C"/>
    <w:rsid w:val="008662CC"/>
    <w:rsid w:val="00866DF2"/>
    <w:rsid w:val="00870726"/>
    <w:rsid w:val="00871291"/>
    <w:rsid w:val="008A7389"/>
    <w:rsid w:val="008B40D9"/>
    <w:rsid w:val="008B65D5"/>
    <w:rsid w:val="008C6086"/>
    <w:rsid w:val="008D344E"/>
    <w:rsid w:val="008D357D"/>
    <w:rsid w:val="008D3ADE"/>
    <w:rsid w:val="008F1CF0"/>
    <w:rsid w:val="008F21B8"/>
    <w:rsid w:val="008F51FD"/>
    <w:rsid w:val="0090324A"/>
    <w:rsid w:val="00904187"/>
    <w:rsid w:val="00905720"/>
    <w:rsid w:val="009068D2"/>
    <w:rsid w:val="00907906"/>
    <w:rsid w:val="0091067C"/>
    <w:rsid w:val="009118F9"/>
    <w:rsid w:val="00911DA3"/>
    <w:rsid w:val="00914E22"/>
    <w:rsid w:val="009219FF"/>
    <w:rsid w:val="009268CF"/>
    <w:rsid w:val="00927E7F"/>
    <w:rsid w:val="00932E30"/>
    <w:rsid w:val="009375A6"/>
    <w:rsid w:val="00943B30"/>
    <w:rsid w:val="00944B5C"/>
    <w:rsid w:val="009461B9"/>
    <w:rsid w:val="00950E1F"/>
    <w:rsid w:val="009519C0"/>
    <w:rsid w:val="0095301C"/>
    <w:rsid w:val="0095710A"/>
    <w:rsid w:val="0097429B"/>
    <w:rsid w:val="00983AAC"/>
    <w:rsid w:val="0098538C"/>
    <w:rsid w:val="009955E0"/>
    <w:rsid w:val="009A1A91"/>
    <w:rsid w:val="009B0568"/>
    <w:rsid w:val="009B15D9"/>
    <w:rsid w:val="009C6FE8"/>
    <w:rsid w:val="009D0E79"/>
    <w:rsid w:val="009D1CA5"/>
    <w:rsid w:val="009D1FD0"/>
    <w:rsid w:val="009D69D4"/>
    <w:rsid w:val="009D7549"/>
    <w:rsid w:val="009F539D"/>
    <w:rsid w:val="00A10650"/>
    <w:rsid w:val="00A16881"/>
    <w:rsid w:val="00A21145"/>
    <w:rsid w:val="00A24409"/>
    <w:rsid w:val="00A2456E"/>
    <w:rsid w:val="00A27000"/>
    <w:rsid w:val="00A35E86"/>
    <w:rsid w:val="00A4333F"/>
    <w:rsid w:val="00A44167"/>
    <w:rsid w:val="00A4428A"/>
    <w:rsid w:val="00A50B0E"/>
    <w:rsid w:val="00A51F16"/>
    <w:rsid w:val="00A60826"/>
    <w:rsid w:val="00A609CA"/>
    <w:rsid w:val="00A62718"/>
    <w:rsid w:val="00A6537C"/>
    <w:rsid w:val="00A66625"/>
    <w:rsid w:val="00A675CF"/>
    <w:rsid w:val="00A80931"/>
    <w:rsid w:val="00A815AE"/>
    <w:rsid w:val="00A81EF1"/>
    <w:rsid w:val="00A9109C"/>
    <w:rsid w:val="00A968C9"/>
    <w:rsid w:val="00AA1A3F"/>
    <w:rsid w:val="00AA2EA7"/>
    <w:rsid w:val="00AA4795"/>
    <w:rsid w:val="00AD580C"/>
    <w:rsid w:val="00AD7CA7"/>
    <w:rsid w:val="00AF18CC"/>
    <w:rsid w:val="00B04950"/>
    <w:rsid w:val="00B22BB3"/>
    <w:rsid w:val="00B32CC1"/>
    <w:rsid w:val="00B43BEC"/>
    <w:rsid w:val="00B44A06"/>
    <w:rsid w:val="00B47D85"/>
    <w:rsid w:val="00B54710"/>
    <w:rsid w:val="00B5491B"/>
    <w:rsid w:val="00B550FD"/>
    <w:rsid w:val="00B6147F"/>
    <w:rsid w:val="00B620E4"/>
    <w:rsid w:val="00B64D20"/>
    <w:rsid w:val="00B711FB"/>
    <w:rsid w:val="00B75C0A"/>
    <w:rsid w:val="00B75C40"/>
    <w:rsid w:val="00B85806"/>
    <w:rsid w:val="00BA0720"/>
    <w:rsid w:val="00BA48B2"/>
    <w:rsid w:val="00BB1322"/>
    <w:rsid w:val="00BB76F4"/>
    <w:rsid w:val="00BD12AA"/>
    <w:rsid w:val="00BD4226"/>
    <w:rsid w:val="00BE345E"/>
    <w:rsid w:val="00BE53DD"/>
    <w:rsid w:val="00BF0215"/>
    <w:rsid w:val="00BF03F5"/>
    <w:rsid w:val="00BF5719"/>
    <w:rsid w:val="00C01CC2"/>
    <w:rsid w:val="00C02060"/>
    <w:rsid w:val="00C0214B"/>
    <w:rsid w:val="00C03671"/>
    <w:rsid w:val="00C04F18"/>
    <w:rsid w:val="00C14710"/>
    <w:rsid w:val="00C24F43"/>
    <w:rsid w:val="00C3360C"/>
    <w:rsid w:val="00C428E9"/>
    <w:rsid w:val="00C45DE9"/>
    <w:rsid w:val="00C479DE"/>
    <w:rsid w:val="00C5355A"/>
    <w:rsid w:val="00C550C7"/>
    <w:rsid w:val="00C555AE"/>
    <w:rsid w:val="00C57AD4"/>
    <w:rsid w:val="00C62BC3"/>
    <w:rsid w:val="00C7488B"/>
    <w:rsid w:val="00CA063B"/>
    <w:rsid w:val="00CA108B"/>
    <w:rsid w:val="00CA21C0"/>
    <w:rsid w:val="00CA3BFD"/>
    <w:rsid w:val="00CA4E06"/>
    <w:rsid w:val="00CA592C"/>
    <w:rsid w:val="00CA7513"/>
    <w:rsid w:val="00CA7742"/>
    <w:rsid w:val="00CC0947"/>
    <w:rsid w:val="00CC0EB9"/>
    <w:rsid w:val="00CC49CD"/>
    <w:rsid w:val="00CE0899"/>
    <w:rsid w:val="00CE5B53"/>
    <w:rsid w:val="00CE7C00"/>
    <w:rsid w:val="00CF109F"/>
    <w:rsid w:val="00CF4E15"/>
    <w:rsid w:val="00D120F5"/>
    <w:rsid w:val="00D125C6"/>
    <w:rsid w:val="00D17F0C"/>
    <w:rsid w:val="00D262E4"/>
    <w:rsid w:val="00D33C43"/>
    <w:rsid w:val="00D473D1"/>
    <w:rsid w:val="00D5178C"/>
    <w:rsid w:val="00D52F65"/>
    <w:rsid w:val="00D53FF9"/>
    <w:rsid w:val="00D56586"/>
    <w:rsid w:val="00D6243E"/>
    <w:rsid w:val="00D72962"/>
    <w:rsid w:val="00D7297A"/>
    <w:rsid w:val="00D8313F"/>
    <w:rsid w:val="00DA5C0B"/>
    <w:rsid w:val="00DC4775"/>
    <w:rsid w:val="00DC501C"/>
    <w:rsid w:val="00DD04A1"/>
    <w:rsid w:val="00DD3811"/>
    <w:rsid w:val="00DD4078"/>
    <w:rsid w:val="00DE292C"/>
    <w:rsid w:val="00DF0CFA"/>
    <w:rsid w:val="00E020FE"/>
    <w:rsid w:val="00E03A50"/>
    <w:rsid w:val="00E1465B"/>
    <w:rsid w:val="00E1619F"/>
    <w:rsid w:val="00E202C4"/>
    <w:rsid w:val="00E31CE3"/>
    <w:rsid w:val="00E33A27"/>
    <w:rsid w:val="00E346D0"/>
    <w:rsid w:val="00E4199C"/>
    <w:rsid w:val="00E45B67"/>
    <w:rsid w:val="00E53A72"/>
    <w:rsid w:val="00E60397"/>
    <w:rsid w:val="00E6485C"/>
    <w:rsid w:val="00E66776"/>
    <w:rsid w:val="00E7112E"/>
    <w:rsid w:val="00E96E2F"/>
    <w:rsid w:val="00EA01AC"/>
    <w:rsid w:val="00EA338C"/>
    <w:rsid w:val="00EA4228"/>
    <w:rsid w:val="00EB0992"/>
    <w:rsid w:val="00EB155F"/>
    <w:rsid w:val="00EC2683"/>
    <w:rsid w:val="00EC2B42"/>
    <w:rsid w:val="00EC699C"/>
    <w:rsid w:val="00ED16A0"/>
    <w:rsid w:val="00ED4718"/>
    <w:rsid w:val="00ED5CE0"/>
    <w:rsid w:val="00EE2AB0"/>
    <w:rsid w:val="00EE491A"/>
    <w:rsid w:val="00EE721C"/>
    <w:rsid w:val="00EF0FD7"/>
    <w:rsid w:val="00EF3AE2"/>
    <w:rsid w:val="00EF75C4"/>
    <w:rsid w:val="00F02E00"/>
    <w:rsid w:val="00F1031D"/>
    <w:rsid w:val="00F23015"/>
    <w:rsid w:val="00F23718"/>
    <w:rsid w:val="00F34C5D"/>
    <w:rsid w:val="00F34DCC"/>
    <w:rsid w:val="00F35FD4"/>
    <w:rsid w:val="00F4120F"/>
    <w:rsid w:val="00F42806"/>
    <w:rsid w:val="00F56634"/>
    <w:rsid w:val="00F63811"/>
    <w:rsid w:val="00F63ECD"/>
    <w:rsid w:val="00F8759C"/>
    <w:rsid w:val="00F87C95"/>
    <w:rsid w:val="00F90CE0"/>
    <w:rsid w:val="00F91006"/>
    <w:rsid w:val="00F95F95"/>
    <w:rsid w:val="00FC0C40"/>
    <w:rsid w:val="00FC35C1"/>
    <w:rsid w:val="00FC482D"/>
    <w:rsid w:val="00FC6D12"/>
    <w:rsid w:val="00FE421E"/>
    <w:rsid w:val="00FE7BA3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88C98-A7CD-47AF-AE70-FD57DB52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FE"/>
    <w:pPr>
      <w:spacing w:after="160" w:line="259" w:lineRule="auto"/>
    </w:pPr>
    <w:rPr>
      <w:rFonts w:eastAsiaTheme="minorHAnsi" w:cstheme="minorBidi"/>
      <w:color w:val="auto"/>
      <w:kern w:val="0"/>
      <w:sz w:val="32"/>
      <w:szCs w:val="3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table" w:styleId="ac">
    <w:name w:val="Table Grid"/>
    <w:basedOn w:val="a1"/>
    <w:uiPriority w:val="39"/>
    <w:rsid w:val="000C66B9"/>
    <w:rPr>
      <w:rFonts w:eastAsia="Calibri" w:cs="Times New Roman"/>
      <w:color w:val="auto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8B"/>
    <w:rPr>
      <w:rFonts w:ascii="Tahoma" w:eastAsiaTheme="minorHAnsi" w:hAnsi="Tahoma" w:cs="Tahoma"/>
      <w:color w:val="auto"/>
      <w:kern w:val="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  <w:style w:type="paragraph" w:styleId="af1">
    <w:name w:val="footer"/>
    <w:basedOn w:val="a"/>
    <w:link w:val="af2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44;&#1080;&#1072;&#1075;&#1088;&#1072;&#1084;&#1084;&#1072;%20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50877494544293"/>
          <c:y val="2.0677884018705552E-2"/>
          <c:w val="0.50149122505455712"/>
          <c:h val="0.96123482626940115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6348271188718766E-2"/>
                  <c:y val="-1.368798913173663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96263856064933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4514883719194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2554854896338527E-2"/>
                  <c:y val="1.274793327947764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2032011290196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5380540092516885E-3"/>
                  <c:y val="1.55618748438713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84538703643552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22875709356037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7.843135640340561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6.535946366950371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9.150324913730655E-3"/>
                  <c:y val="-1.2079963902568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17647034605108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307189273390093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2222217647631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8.1735494300765751E-2"/>
                  <c:y val="-1.738374619730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0941596382955824E-2"/>
                  <c:y val="3.18698331986941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87846984987474E-2"/>
                  <c:y val="1.738374619730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9.3347819431532794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Liberation Serif" panose="02020603050405020304" pitchFamily="18" charset="0"/>
                      </a:defRPr>
                    </a:pPr>
                    <a:r>
                      <a:rPr lang="en-US" sz="1100" b="1">
                        <a:latin typeface="Liberation Serif" panose="02020603050405020304" pitchFamily="18" charset="0"/>
                      </a:rPr>
                      <a:t>23</a:t>
                    </a:r>
                    <a:endParaRPr lang="en-US"/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1055736382881014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.1462489592783832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0.17508346307351694"/>
                  <c:y val="-1.3687989132135003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0.13464049515917953"/>
                  <c:y val="3.29457366854798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0.1960783910085140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.2156862301093654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'Диаграмма  1'!$F$5:$F$25</c:f>
              <c:strCache>
                <c:ptCount val="21"/>
                <c:pt idx="0">
                  <c:v>Муниципальное бюджетное учреждение культуры Верхнепышминская централизованная библиотечная система</c:v>
                </c:pt>
                <c:pt idx="1">
                  <c:v>Комитет по управлению имуществом администрации городского округа Верхняя Пышма</c:v>
                </c:pt>
                <c:pt idx="2">
                  <c:v>Муниципальное автономное учреждение дополнительного образования Спортивная школа имени Александра Козицына</c:v>
                </c:pt>
                <c:pt idx="3">
                  <c:v>Муниципальное бюджетное учреждение культуры Верхнепышминский исторический музей</c:v>
                </c:pt>
                <c:pt idx="4">
                  <c:v>Исетская поселковая администрация городского округа Верхняя Пышма</c:v>
                </c:pt>
                <c:pt idx="5">
                  <c:v>Муниципальное бюджетное учреждение Центр пространственного развития городского округа Верхняя Пышма</c:v>
                </c:pt>
                <c:pt idx="6">
                  <c:v>Муниципальное бюджетное учреждение культуры Объединение сельских клубов «Луч»</c:v>
                </c:pt>
                <c:pt idx="7">
                  <c:v>Балтымская сельская администрация ГО Верхняя Пышма</c:v>
                </c:pt>
                <c:pt idx="8">
                  <c:v>Муниципальное бюджетное учреждение культуры Верхнепышминский парк культуры и отдыха</c:v>
                </c:pt>
                <c:pt idx="9">
                  <c:v>Мостовская сельская администрация городского округа Верхняя Пышма</c:v>
                </c:pt>
                <c:pt idx="10">
                  <c:v>Красненская поселковая администрация городского округа Верхняя Пышма</c:v>
                </c:pt>
                <c:pt idx="11">
                  <c:v>Муниципальное казенное учреждение Управление культуры городского округа Верхняя Пышма</c:v>
                </c:pt>
                <c:pt idx="12">
                  <c:v>Кедровская поселковая администрация городского округа Верхняя Пышма</c:v>
                </c:pt>
                <c:pt idx="13">
                  <c:v>Муниципальное казенное учреждение Управление образования городского округа Верхняя Пышма</c:v>
                </c:pt>
                <c:pt idx="14">
                  <c:v>Администрация городского округа Верхняя Пышма</c:v>
                </c:pt>
                <c:pt idx="15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6">
                  <c:v>Муниципальное казенное учреждение Управление гражданской защиты городского округа Верхняя Пышма</c:v>
                </c:pt>
                <c:pt idx="17">
                  <c:v>Муниципальное казенное учреждение Управление капитального строительства городского округа Верхняя Пышма</c:v>
                </c:pt>
                <c:pt idx="18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9">
                  <c:v>Муниципальное казённое учреждение Комитет жилищно-коммунального хозяйства</c:v>
                </c:pt>
                <c:pt idx="20">
                  <c:v>Муниципальное казенное учреждение Административно-хозяйственное управление</c:v>
                </c:pt>
              </c:strCache>
            </c:strRef>
          </c:cat>
          <c:val>
            <c:numRef>
              <c:f>'Диаграмма  1'!$G$5:$G$25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21</c:v>
                </c:pt>
                <c:pt idx="15">
                  <c:v>22</c:v>
                </c:pt>
                <c:pt idx="16">
                  <c:v>23</c:v>
                </c:pt>
                <c:pt idx="17">
                  <c:v>24</c:v>
                </c:pt>
                <c:pt idx="18">
                  <c:v>27</c:v>
                </c:pt>
                <c:pt idx="19">
                  <c:v>35</c:v>
                </c:pt>
                <c:pt idx="20">
                  <c:v>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563332328"/>
        <c:axId val="563332720"/>
      </c:barChart>
      <c:catAx>
        <c:axId val="563332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Liberation Serif" panose="02020603050405020304" pitchFamily="18" charset="0"/>
              </a:defRPr>
            </a:pPr>
            <a:endParaRPr lang="ru-RU"/>
          </a:p>
        </c:txPr>
        <c:crossAx val="563332720"/>
        <c:crosses val="autoZero"/>
        <c:auto val="1"/>
        <c:lblAlgn val="ctr"/>
        <c:lblOffset val="100"/>
        <c:noMultiLvlLbl val="0"/>
      </c:catAx>
      <c:valAx>
        <c:axId val="5633327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63332328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741589464848003"/>
          <c:y val="6.5179777285120912E-3"/>
          <c:w val="0.50749472474398016"/>
          <c:h val="0.96869342225549937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5272969677632554E-2"/>
                  <c:y val="2.007491781973855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772143532709643E-2"/>
                  <c:y val="2.2500828173177383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1631132939062792E-2"/>
                  <c:y val="-1.274112580587620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808087483999377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9748206220966227E-2"/>
                  <c:y val="-1.1866098089028343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07954920974964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820085555315866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555632789027276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059493913036390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2.2239803165790897E-2"/>
                  <c:y val="2.007764515465483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098811912621231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972249469858225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2.218139599249457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089633642531818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2.2578137401348859E-2"/>
                  <c:y val="-7.361718180177092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2.4423661620992486E-2"/>
                  <c:y val="2.007764515465520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3.302840499384949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9564791176032439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Liberation Serif" panose="02020603050405020304" pitchFamily="18" charset="0"/>
                      </a:defRPr>
                    </a:pPr>
                    <a:r>
                      <a:rPr lang="en-US" sz="1100" b="1">
                        <a:latin typeface="Liberation Serif" panose="02020603050405020304" pitchFamily="18" charset="0"/>
                      </a:rPr>
                      <a:t>49</a:t>
                    </a:r>
                    <a:endParaRPr lang="en-US"/>
                  </a:p>
                </c:rich>
              </c:tx>
              <c:numFmt formatCode="#,##0.00" sourceLinked="0"/>
              <c:spPr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3.9864037328261374E-2"/>
                  <c:y val="2.928509885392623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'Диаграмма 2'!$B$5:$B$25</c:f>
              <c:strCache>
                <c:ptCount val="21"/>
                <c:pt idx="0">
                  <c:v>Муниципальное бюджетное учреждение культуры Верхнепышминская централизованная библиотечная система</c:v>
                </c:pt>
                <c:pt idx="1">
                  <c:v>Комитет по управлению имуществом администрации городского округа Верхняя Пышма</c:v>
                </c:pt>
                <c:pt idx="2">
                  <c:v>Исетская поселковая администрация городского округа Верхняя Пышма</c:v>
                </c:pt>
                <c:pt idx="3">
                  <c:v>Муниципальное казенное учреждение Управление культуры городского округа Верхняя Пышма</c:v>
                </c:pt>
                <c:pt idx="4">
                  <c:v>Муниципальное бюджетное учреждение Центр пространственного развития городского округа Верхняя Пышма</c:v>
                </c:pt>
                <c:pt idx="5">
                  <c:v>Муниципальное автономное учреждение дополнительного образования Спортивная школа имени Александра Козицына</c:v>
                </c:pt>
                <c:pt idx="6">
                  <c:v>Муниципальное бюджетное учреждение культуры Объединение сельских клубов «Луч»</c:v>
                </c:pt>
                <c:pt idx="7">
                  <c:v>Муниципальное бюджетное учреждение культуры Верхнепышминский исторический музей</c:v>
                </c:pt>
                <c:pt idx="8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9">
                  <c:v>Муниципальное казенное учреждение Управление гражданской защиты городского округа Верхняя Пышма</c:v>
                </c:pt>
                <c:pt idx="10">
                  <c:v>Мостовская сельская администрация городского округа Верхняя Пышма</c:v>
                </c:pt>
                <c:pt idx="11">
                  <c:v>Балтымская сельская администрация ГО Верхняя Пышма</c:v>
                </c:pt>
                <c:pt idx="12">
                  <c:v>Кедровская поселковая администрация городского округа Верхняя Пышма</c:v>
                </c:pt>
                <c:pt idx="13">
                  <c:v>Муниципальное казенное учреждение Административно-хозяйственное управление</c:v>
                </c:pt>
                <c:pt idx="14">
                  <c:v>Красненская поселковая администрация городского округа Верхняя Пышма</c:v>
                </c:pt>
                <c:pt idx="15">
                  <c:v>Администрация городского округа Верхняя Пышма</c:v>
                </c:pt>
                <c:pt idx="16">
                  <c:v>Муниципальное казенное учреждение Управление образования городского округа Верхняя Пышма</c:v>
                </c:pt>
                <c:pt idx="17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8">
                  <c:v>Муниципальное бюджетное учреждение культуры Верхнепышминский парк культуры и отдыха</c:v>
                </c:pt>
                <c:pt idx="19">
                  <c:v>Муниципальное казённое учреждение Комитет жилищно-коммунального хозяйства</c:v>
                </c:pt>
                <c:pt idx="20">
                  <c:v>Муниципальное казенное учреждение Управление капитального строительства городского округа Верхняя Пышма</c:v>
                </c:pt>
              </c:strCache>
            </c:strRef>
          </c:cat>
          <c:val>
            <c:numRef>
              <c:f>'Диаграмма 2'!$E$5:$E$25</c:f>
              <c:numCache>
                <c:formatCode>0.0</c:formatCode>
                <c:ptCount val="21"/>
                <c:pt idx="0">
                  <c:v>0.59450000000000003</c:v>
                </c:pt>
                <c:pt idx="1">
                  <c:v>0.65200000000000002</c:v>
                </c:pt>
                <c:pt idx="2">
                  <c:v>0.73105095999999992</c:v>
                </c:pt>
                <c:pt idx="3">
                  <c:v>1.16096</c:v>
                </c:pt>
                <c:pt idx="4">
                  <c:v>1.358355</c:v>
                </c:pt>
                <c:pt idx="5">
                  <c:v>1.62314998</c:v>
                </c:pt>
                <c:pt idx="6" formatCode="0">
                  <c:v>2.1704340800000002</c:v>
                </c:pt>
                <c:pt idx="7">
                  <c:v>4.6423326399999993</c:v>
                </c:pt>
                <c:pt idx="8" formatCode="0">
                  <c:v>5.1584603899999992</c:v>
                </c:pt>
                <c:pt idx="9" formatCode="0">
                  <c:v>11.513153920000001</c:v>
                </c:pt>
                <c:pt idx="10" formatCode="0">
                  <c:v>11.5184</c:v>
                </c:pt>
                <c:pt idx="11" formatCode="0">
                  <c:v>13.540323429999999</c:v>
                </c:pt>
                <c:pt idx="12" formatCode="0">
                  <c:v>21.345295440000001</c:v>
                </c:pt>
                <c:pt idx="13" formatCode="0">
                  <c:v>24.907646589999999</c:v>
                </c:pt>
                <c:pt idx="14" formatCode="0">
                  <c:v>31.634308589999989</c:v>
                </c:pt>
                <c:pt idx="15" formatCode="0">
                  <c:v>39.246259330000015</c:v>
                </c:pt>
                <c:pt idx="16" formatCode="0">
                  <c:v>41.518280880000006</c:v>
                </c:pt>
                <c:pt idx="17" formatCode="0">
                  <c:v>50.416060560000005</c:v>
                </c:pt>
                <c:pt idx="18" formatCode="0">
                  <c:v>57.69560637</c:v>
                </c:pt>
                <c:pt idx="19" formatCode="0">
                  <c:v>368.0819194099999</c:v>
                </c:pt>
                <c:pt idx="20" formatCode="0">
                  <c:v>1231.2182654100002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232215664"/>
        <c:axId val="232216840"/>
      </c:barChart>
      <c:catAx>
        <c:axId val="23221566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Liberation Serif" panose="02020603050405020304" pitchFamily="18" charset="0"/>
              </a:defRPr>
            </a:pPr>
            <a:endParaRPr lang="ru-RU"/>
          </a:p>
        </c:txPr>
        <c:crossAx val="232216840"/>
        <c:crosses val="autoZero"/>
        <c:auto val="1"/>
        <c:lblAlgn val="ctr"/>
        <c:lblOffset val="100"/>
        <c:noMultiLvlLbl val="0"/>
      </c:catAx>
      <c:valAx>
        <c:axId val="23221684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322156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2.6268345670274361E-3"/>
                  <c:y val="2.19244205717147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51021852605503E-2"/>
                  <c:y val="5.132865791961257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'Диаграмма 3'!$C$5:$C$7</c:f>
              <c:strCache>
                <c:ptCount val="3"/>
                <c:pt idx="0">
                  <c:v>Ацукцион </c:v>
                </c:pt>
                <c:pt idx="1">
                  <c:v>Конкурс</c:v>
                </c:pt>
                <c:pt idx="2">
                  <c:v>Запрос котировок</c:v>
                </c:pt>
              </c:strCache>
            </c:strRef>
          </c:cat>
          <c:val>
            <c:numRef>
              <c:f>'Диаграмма 3'!$D$5:$D$7</c:f>
              <c:numCache>
                <c:formatCode>General</c:formatCode>
                <c:ptCount val="3"/>
                <c:pt idx="0">
                  <c:v>238</c:v>
                </c:pt>
                <c:pt idx="1">
                  <c:v>7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846396651398968"/>
          <c:y val="4.6194218084325445E-2"/>
          <c:w val="0.3780017820353101"/>
          <c:h val="0.840755931840216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Запрос котировок в электронной форме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Sheet1!$B$2:$D$2</c:f>
              <c:numCache>
                <c:formatCode>0.0</c:formatCode>
                <c:ptCount val="3"/>
                <c:pt idx="0">
                  <c:v>2.5714285714285716</c:v>
                </c:pt>
                <c:pt idx="1">
                  <c:v>2.3571428571428572</c:v>
                </c:pt>
                <c:pt idx="2">
                  <c:v>0.21428571428571427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Электронный аукцион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Sheet1!$B$3:$D$3</c:f>
              <c:numCache>
                <c:formatCode>0.0</c:formatCode>
                <c:ptCount val="3"/>
                <c:pt idx="0">
                  <c:v>3.2478991596638656</c:v>
                </c:pt>
                <c:pt idx="1">
                  <c:v>50.571428571428569</c:v>
                </c:pt>
                <c:pt idx="2">
                  <c:v>4.6428571428571432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Открытый конкурс в электронной форме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Sheet1!$B$4:$D$4</c:f>
              <c:numCache>
                <c:formatCode>0.0</c:formatCode>
                <c:ptCount val="3"/>
                <c:pt idx="0">
                  <c:v>1.1428571428571428</c:v>
                </c:pt>
                <c:pt idx="1">
                  <c:v>0.5714285714285714</c:v>
                </c:pt>
                <c:pt idx="2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2217232"/>
        <c:axId val="232214880"/>
      </c:barChart>
      <c:catAx>
        <c:axId val="2322172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232214880"/>
        <c:crosses val="autoZero"/>
        <c:auto val="1"/>
        <c:lblAlgn val="ctr"/>
        <c:lblOffset val="100"/>
        <c:noMultiLvlLbl val="0"/>
      </c:catAx>
      <c:valAx>
        <c:axId val="232214880"/>
        <c:scaling>
          <c:orientation val="minMax"/>
        </c:scaling>
        <c:delete val="0"/>
        <c:axPos val="b"/>
        <c:majorGridlines/>
        <c:numFmt formatCode="0.0" sourceLinked="1"/>
        <c:majorTickMark val="none"/>
        <c:minorTickMark val="none"/>
        <c:tickLblPos val="nextTo"/>
        <c:crossAx val="232217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Liberation Serif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 sz="1400">
                <a:latin typeface="Liberation Serif" panose="02020603050405020304" pitchFamily="18" charset="0"/>
              </a:defRPr>
            </a:pPr>
            <a:r>
              <a:rPr lang="ru-RU" sz="1200" b="0">
                <a:latin typeface="Liberation Serif" panose="02020603050405020304" pitchFamily="18" charset="0"/>
              </a:rPr>
              <a:t>Количество</a:t>
            </a:r>
            <a:r>
              <a:rPr lang="ru-RU" sz="1200" b="0" baseline="0">
                <a:latin typeface="Liberation Serif" panose="02020603050405020304" pitchFamily="18" charset="0"/>
              </a:rPr>
              <a:t> извещений, для СМП и СОНКО, не СПМ, СОНКО, с условием о привлечении к исполнению СМП и СОНКО, % </a:t>
            </a:r>
            <a:r>
              <a:rPr lang="ru-RU" sz="1200" b="0">
                <a:latin typeface="Liberation Serif" panose="02020603050405020304" pitchFamily="18" charset="0"/>
              </a:rPr>
              <a:t>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plosion val="10"/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'Диаграмма 5'!$C$5:$C$7</c:f>
              <c:strCache>
                <c:ptCount val="3"/>
                <c:pt idx="0">
                  <c:v>Для СМП и СОНКО</c:v>
                </c:pt>
                <c:pt idx="1">
                  <c:v>Не для СМП и СОНКО</c:v>
                </c:pt>
                <c:pt idx="2">
                  <c:v>Привлечение СМП и СОНКО</c:v>
                </c:pt>
              </c:strCache>
            </c:strRef>
          </c:cat>
          <c:val>
            <c:numRef>
              <c:f>'Диаграмма 5'!$D$5:$D$7</c:f>
              <c:numCache>
                <c:formatCode>General</c:formatCode>
                <c:ptCount val="3"/>
                <c:pt idx="0">
                  <c:v>218</c:v>
                </c:pt>
                <c:pt idx="1">
                  <c:v>31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1.2319443215665473E-2"/>
          <c:y val="0.21232695990612196"/>
          <c:w val="0.98768055678433453"/>
          <c:h val="0.12013135107624055"/>
        </c:manualLayout>
      </c:layout>
      <c:overlay val="0"/>
      <c:txPr>
        <a:bodyPr/>
        <a:lstStyle/>
        <a:p>
          <a:pPr>
            <a:defRPr sz="11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50874414695184"/>
          <c:y val="3.4390027487698788E-2"/>
          <c:w val="0.48600856026454359"/>
          <c:h val="0.94395344621657395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7.2341168064945071E-3"/>
                  <c:y val="2.007606423771425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6346080669710807E-3"/>
                  <c:y val="2.232770745428973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63460806697108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ru-RU" sz="1200" b="1">
                        <a:latin typeface="Liberation Serif" panose="02020603050405020304" pitchFamily="18" charset="0"/>
                      </a:rPr>
                      <a:t>23</a:t>
                    </a:r>
                    <a:endParaRPr lang="ru-RU"/>
                  </a:p>
                </c:rich>
              </c:tx>
              <c:numFmt formatCode="#,##0.00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'Диаграмма 6'!$F$5:$F$25</c:f>
              <c:strCache>
                <c:ptCount val="21"/>
                <c:pt idx="0">
                  <c:v>МУНИЦИПАЛЬНОЕ БЮДЖЕТНОЕ УЧРЕЖДЕНИЕ КУЛЬТУРЫ ВЕРХНЕПЫШМИНСКАЯ ЦЕНТРАЛИЗОВАННАЯ БИБЛИОТЕЧНАЯ СИСТЕМА</c:v>
                </c:pt>
                <c:pt idx="1">
                  <c:v>МУНИЦИПАЛЬНОЕ БЮДЖЕТНОЕ УЧРЕЖДЕНИЕ КУЛЬТУРЫ ВЕРХНЕПЫШМИНСКИЙ ИСТОРИЧЕСКИЙ МУЗЕЙ</c:v>
                </c:pt>
                <c:pt idx="2">
                  <c:v>МУНИЦИПАЛЬНОЕ АВТОНОМНОЕ УЧРЕЖДЕНИЕ СПОРТИВНАЯ ШКОЛА ИМЕНИ АЛЕКСАНДРА КОЗИЦЫНА</c:v>
                </c:pt>
                <c:pt idx="3">
                  <c:v>КОМИТЕТ ПО УПРАВЛЕНИЮ ИМУЩЕСТВОМ АДМИНИСТРАЦИИ ГОРОДСКОГО ОКРУГА ВЕРХНЯЯ ПЫШМА</c:v>
                </c:pt>
                <c:pt idx="4">
                  <c:v>МУНИЦИПАЛЬНОЕ БЮДЖЕТНОЕ УЧРЕЖДЕНИЕ ЦЕНТР ПРОСТРАНСТВЕННОГО РАЗВИТИЯ ГОРОДСКОГО ОКРУГА ВЕРХНЯЯ ПЫШМА</c:v>
                </c:pt>
                <c:pt idx="5">
                  <c:v>МУНИЦИПАЛЬНОЕ БЮДЖЕТНОЕ УЧРЕЖДЕНИЕ КУЛЬТУРЫ ОБЪЕДИНЕНИЕ СЕЛЬСКИХ КЛУБОВ ЛУЧ</c:v>
                </c:pt>
                <c:pt idx="6">
                  <c:v>ИСЕТСКАЯ ПОСЕЛКОВАЯ АДМИНИСТРАЦИЯ ГОРОДСКОГО ОКРУГА ВЕРХНЯЯ ПЫШМА</c:v>
                </c:pt>
                <c:pt idx="7">
                  <c:v>МУНИЦИПАЛЬНОЕ БЮДЖЕТНОЕ УЧРЕЖДЕНИЕ КУЛЬТУРЫ ВЕРХНЕПЫШМИНСКИЙ ПАРК КУЛЬТУРЫ И ОТДЫХА</c:v>
                </c:pt>
                <c:pt idx="8">
                  <c:v>БАЛТЫМСКАЯ СЕЛЬСКАЯ АДМИНИСТРАЦИЯ ГО ВЕРХНЯЯ ПЫШМА</c:v>
                </c:pt>
                <c:pt idx="9">
                  <c:v>КРАСНЕНСКАЯ ПОСЕЛКОВАЯ АДМИНИСТРАЦИЯ ГОРОДСКОГО ОКРУГА ВЕРХНЯЯ ПЫШМА</c:v>
                </c:pt>
                <c:pt idx="10">
                  <c:v>МОСТОВСКАЯ СЕЛЬСКАЯ АДМИНИСТРАЦИЯ ГОРОДСКОГО ОКРУГА ВЕРХНЯЯ ПЫШМА</c:v>
                </c:pt>
                <c:pt idx="11">
                  <c:v>МУНИЦИПАЛЬНОЕ КАЗЕННОЕ УЧРЕЖДЕНИЕ УПРАВЛЕНИЕ КУЛЬТУРЫ ГОРОДСКОГО ОКРУГА ВЕРХНЯЯ ПЫШМА</c:v>
                </c:pt>
                <c:pt idx="12">
                  <c:v>МУНИЦИПАЛЬНОЕ КАЗЕННОЕ УЧРЕЖДЕНИЕ УПРАВЛЕНИЕ ОБРАЗОВАНИЯ ГОРОДСКОГО ОКРУГА ВЕРХНЯЯ ПЫШМА</c:v>
                </c:pt>
                <c:pt idx="13">
                  <c:v>КЕДРОВСКАЯ ПОСЕЛКОВАЯ АДМИНИСТРАЦИЯ ГОРОДСКОГО ОКРУГА ВЕРХНЯЯ ПЫШМА</c:v>
                </c:pt>
                <c:pt idx="14">
                  <c:v>АДМИНИСТРАЦИЯ ГОРОДСКОГО ОКРУГА ВЕРХНЯЯ ПЫШМА</c:v>
                </c:pt>
                <c:pt idx="15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6">
                  <c:v>МУНИЦИПАЛЬНОЕ КАЗЕННОЕ УЧРЕЖДЕНИЕ УПРАВЛЕНИЕ ГРАЖДАНСКОЙ ЗАЩИТЫ ГОРОДСКОГО ОКРУГА ВЕРХНЯЯ ПЫШМА</c:v>
                </c:pt>
                <c:pt idx="17">
                  <c:v>МУНИЦИПАЛЬНОЕ КАЗЕННОЕ УЧРЕЖДЕНИЕ УПРАВЛЕНИЕ КАПИТАЛЬНОГО СТРОИТЕЛЬСТВА ГОРОДСКОГО ОКРУГА ВЕРХНЯЯ ПЫШМА</c:v>
                </c:pt>
                <c:pt idx="18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9">
                  <c:v>МУНИЦИПАЛЬНОЕ КАЗЁННОЕ УЧРЕЖДЕНИЕ КОМИТЕТ ЖИЛИЩНО-КОММУНАЛЬНОГО ХОЗЯЙСТВА</c:v>
                </c:pt>
                <c:pt idx="20">
                  <c:v>МУНИЦИПАЛЬНОЕ КАЗЕННОЕ УЧРЕЖДЕНИЕ АДМИНИСТРАТИВНО-ХОЗЯЙСТВЕННОЕ УПРАВЛЕНИЕ</c:v>
                </c:pt>
              </c:strCache>
            </c:strRef>
          </c:cat>
          <c:val>
            <c:numRef>
              <c:f>'Диаграмма 6'!$G$5:$G$25</c:f>
              <c:numCache>
                <c:formatCode>#,##0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17</c:v>
                </c:pt>
                <c:pt idx="16">
                  <c:v>19</c:v>
                </c:pt>
                <c:pt idx="17">
                  <c:v>23</c:v>
                </c:pt>
                <c:pt idx="18">
                  <c:v>23</c:v>
                </c:pt>
                <c:pt idx="19">
                  <c:v>35</c:v>
                </c:pt>
                <c:pt idx="20">
                  <c:v>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232217624"/>
        <c:axId val="233720160"/>
      </c:barChart>
      <c:catAx>
        <c:axId val="23221762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233720160"/>
        <c:crosses val="autoZero"/>
        <c:auto val="1"/>
        <c:lblAlgn val="ctr"/>
        <c:lblOffset val="100"/>
        <c:noMultiLvlLbl val="0"/>
      </c:catAx>
      <c:valAx>
        <c:axId val="23372016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2322176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50874414695184"/>
          <c:y val="2.6758099438883052E-2"/>
          <c:w val="0.48600856026454359"/>
          <c:h val="0.9535619152638742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3377791492400492E-2"/>
                  <c:y val="4.001245159739772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0,36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314284326224216E-2"/>
                  <c:y val="2.232873441568461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0,50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270000870773327E-2"/>
                  <c:y val="-1.4619835787345781E-1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0,65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19162097851454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0,95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214532815700095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3587765202456855E-2"/>
                  <c:y val="-1.4619835787345781E-1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1,36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2918633840910521E-2"/>
                  <c:y val="-1.4122965459934977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426936191967866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35154121233686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620091439443009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584519419019152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9442949982713193E-2"/>
                  <c:y val="1.92588117404142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8376304011496678E-2"/>
                  <c:y val="-7.061482729967488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284287758294708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2.1881836047363802E-2"/>
                  <c:y val="1.92588117404142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2.11384878659371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2.467716027437388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6883325226014988E-2"/>
                  <c:y val="1.9258219474945085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Liberation Serif" panose="02020603050405020304" pitchFamily="18" charset="0"/>
                      </a:rPr>
                      <a:t>43</a:t>
                    </a:r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3.241827233769093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'Диаграмма 7'!$F$5:$F$25</c:f>
              <c:strCache>
                <c:ptCount val="21"/>
                <c:pt idx="0">
                  <c:v>МУНИЦИПАЛЬНОЕ БЮДЖЕТНОЕ УЧРЕЖДЕНИЕ КУЛЬТУРЫ ВЕРХНЕПЫШМИНСКАЯ ЦЕНТРАЛИЗОВАННАЯ БИБЛИОТЕЧНАЯ СИСТЕМА</c:v>
                </c:pt>
                <c:pt idx="1">
                  <c:v>МУНИЦИПАЛЬНОЕ БЮДЖЕТНОЕ УЧРЕЖДЕНИЕ ЦЕНТР ПРОСТРАНСТВЕННОГО РАЗВИТИЯ ГОРОДСКОГО ОКРУГА ВЕРХНЯЯ ПЫШМА</c:v>
                </c:pt>
                <c:pt idx="2">
                  <c:v>КОМИТЕТ ПО УПРАВЛЕНИЮ ИМУЩЕСТВОМ АДМИНИСТРАЦИИ ГОРОДСКОГО ОКРУГА ВЕРХНЯЯ ПЫШМА</c:v>
                </c:pt>
                <c:pt idx="3">
                  <c:v>МУНИЦИПАЛЬНОЕ КАЗЕННОЕ УЧРЕЖДЕНИЕ УПРАВЛЕНИЕ КУЛЬТУРЫ ГОРОДСКОГО ОКРУГА ВЕРХНЯЯ ПЫШМА</c:v>
                </c:pt>
                <c:pt idx="4">
                  <c:v>МУНИЦИПАЛЬНОЕ АВТОНОМНОЕ УЧРЕЖДЕНИЕ СПОРТИВНАЯ ШКОЛА ИМЕНИ АЛЕКСАНДРА КОЗИЦЫНА</c:v>
                </c:pt>
                <c:pt idx="5">
                  <c:v>ИСЕТСКАЯ ПОСЕЛКОВАЯ АДМИНИСТРАЦИЯ ГОРОДСКОГО ОКРУГА ВЕРХНЯЯ ПЫШМА</c:v>
                </c:pt>
                <c:pt idx="6">
                  <c:v>МУНИЦИПАЛЬНОЕ БЮДЖЕТНОЕ УЧРЕЖДЕНИЕ КУЛЬТУРЫ ОБЪЕДИНЕНИЕ СЕЛЬСКИХ КЛУБОВ ЛУЧ</c:v>
                </c:pt>
                <c:pt idx="7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8">
                  <c:v>МУНИЦИПАЛЬНОЕ БЮДЖЕТНОЕ УЧРЕЖДЕНИЕ КУЛЬТУРЫ ВЕРХНЕПЫШМИНСКИЙ ИСТОРИЧЕСКИЙ МУЗЕЙ</c:v>
                </c:pt>
                <c:pt idx="9">
                  <c:v>МУНИЦИПАЛЬНОЕ КАЗЕННОЕ УЧРЕЖДЕНИЕ УПРАВЛЕНИЕ ГРАЖДАНСКОЙ ЗАЩИТЫ ГОРОДСКОГО ОКРУГА ВЕРХНЯЯ ПЫШМА</c:v>
                </c:pt>
                <c:pt idx="10">
                  <c:v>БАЛТЫМСКАЯ СЕЛЬСКАЯ АДМИНИСТРАЦИЯ ГО ВЕРХНЯЯ ПЫШМА</c:v>
                </c:pt>
                <c:pt idx="11">
                  <c:v>МУНИЦИПАЛЬНОЕ КАЗЕННОЕ УЧРЕЖДЕНИЕ УПРАВЛЕНИЕ ОБРАЗОВАНИЯ ГОРОДСКОГО ОКРУГА ВЕРХНЯЯ ПЫШМА</c:v>
                </c:pt>
                <c:pt idx="12">
                  <c:v>МОСТОВСКАЯ СЕЛЬСКАЯ АДМИНИСТРАЦИЯ ГОРОДСКОГО ОКРУГА ВЕРХНЯЯ ПЫШМА</c:v>
                </c:pt>
                <c:pt idx="13">
                  <c:v>МУНИЦИПАЛЬНОЕ КАЗЕННОЕ УЧРЕЖДЕНИЕ АДМИНИСТРАТИВНО-ХОЗЯЙСТВЕННОЕ УПРАВЛЕНИЕ</c:v>
                </c:pt>
                <c:pt idx="14">
                  <c:v>АДМИНИСТРАЦИЯ ГОРОДСКОГО ОКРУГА ВЕРХНЯЯ ПЫШМА</c:v>
                </c:pt>
                <c:pt idx="15">
                  <c:v>КРАСНЕНСКАЯ ПОСЕЛКОВАЯ АДМИНИСТРАЦИЯ ГОРОДСКОГО ОКРУГА ВЕРХНЯЯ ПЫШМА</c:v>
                </c:pt>
                <c:pt idx="16">
                  <c:v>КЕДРОВСКАЯ ПОСЕЛКОВАЯ АДМИНИСТРАЦИЯ ГОРОДСКОГО ОКРУГА ВЕРХНЯЯ ПЫШМА</c:v>
                </c:pt>
                <c:pt idx="17">
                  <c:v>МУНИЦИПАЛЬНОЕ БЮДЖЕТНОЕ УЧРЕЖДЕНИЕ КУЛЬТУРЫ ВЕРХНЕПЫШМИНСКИЙ ПАРК КУЛЬТУРЫ И ОТДЫХА</c:v>
                </c:pt>
                <c:pt idx="18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9">
                  <c:v>МУНИЦИПАЛЬНОЕ КАЗЁННОЕ УЧРЕЖДЕНИЕ КОМИТЕТ ЖИЛИЩНО-КОММУНАЛЬНОГО ХОЗЯЙСТВА</c:v>
                </c:pt>
                <c:pt idx="20">
                  <c:v>МУНИЦИПАЛЬНОЕ КАЗЕННОЕ УЧРЕЖДЕНИЕ УПРАВЛЕНИЕ КАПИТАЛЬНОГО СТРОИТЕЛЬСТВА ГОРОДСКОГО ОКРУГА ВЕРХНЯЯ ПЫШМА</c:v>
                </c:pt>
              </c:strCache>
            </c:strRef>
          </c:cat>
          <c:val>
            <c:numRef>
              <c:f>'Диаграмма 7'!$I$5:$I$25</c:f>
              <c:numCache>
                <c:formatCode>_(* #,##0.00_);_(* \(#,##0.00\);_(* "-"??_);_(@_)</c:formatCode>
                <c:ptCount val="21"/>
                <c:pt idx="0">
                  <c:v>0.35670000000000002</c:v>
                </c:pt>
                <c:pt idx="1">
                  <c:v>0.502</c:v>
                </c:pt>
                <c:pt idx="2">
                  <c:v>0.65200000000000002</c:v>
                </c:pt>
                <c:pt idx="3">
                  <c:v>0.95298769999999999</c:v>
                </c:pt>
                <c:pt idx="4">
                  <c:v>1.0978621799999999</c:v>
                </c:pt>
                <c:pt idx="5">
                  <c:v>1.358355</c:v>
                </c:pt>
                <c:pt idx="6" formatCode="_-* #,##0\ _₽_-;\-* #,##0\ _₽_-;_-* &quot;-&quot;??\ _₽_-;_-@_-">
                  <c:v>1.5798181200000001</c:v>
                </c:pt>
                <c:pt idx="7" formatCode="_-* #,##0\ _₽_-;\-* #,##0\ _₽_-;_-* &quot;-&quot;??\ _₽_-;_-@_-">
                  <c:v>3.3420587400000001</c:v>
                </c:pt>
                <c:pt idx="8" formatCode="_-* #,##0\ _₽_-;\-* #,##0\ _₽_-;_-* &quot;-&quot;??\ _₽_-;_-@_-">
                  <c:v>4.5512773600000003</c:v>
                </c:pt>
                <c:pt idx="9" formatCode="_-* #,##0\ _₽_-;\-* #,##0\ _₽_-;_-* &quot;-&quot;??\ _₽_-;_-@_-">
                  <c:v>7.6390616500000004</c:v>
                </c:pt>
                <c:pt idx="10" formatCode="_-* #,##0\ _₽_-;\-* #,##0\ _₽_-;_-* &quot;-&quot;??\ _₽_-;_-@_-">
                  <c:v>9.7014092999999981</c:v>
                </c:pt>
                <c:pt idx="11" formatCode="_-* #,##0\ _₽_-;\-* #,##0\ _₽_-;_-* &quot;-&quot;??\ _₽_-;_-@_-">
                  <c:v>11.22762256</c:v>
                </c:pt>
                <c:pt idx="12" formatCode="_-* #,##0\ _₽_-;\-* #,##0\ _₽_-;_-* &quot;-&quot;??\ _₽_-;_-@_-">
                  <c:v>11.398396</c:v>
                </c:pt>
                <c:pt idx="13" formatCode="_-* #,##0\ _₽_-;\-* #,##0\ _₽_-;_-* &quot;-&quot;??\ _₽_-;_-@_-">
                  <c:v>19.265307979999999</c:v>
                </c:pt>
                <c:pt idx="14" formatCode="_-* #,##0\ _₽_-;\-* #,##0\ _₽_-;_-* &quot;-&quot;??\ _₽_-;_-@_-">
                  <c:v>19.838856920000001</c:v>
                </c:pt>
                <c:pt idx="15" formatCode="_-* #,##0\ _₽_-;\-* #,##0\ _₽_-;_-* &quot;-&quot;??\ _₽_-;_-@_-">
                  <c:v>24.942627350000002</c:v>
                </c:pt>
                <c:pt idx="16" formatCode="_-* #,##0\ _₽_-;\-* #,##0\ _₽_-;_-* &quot;-&quot;??\ _₽_-;_-@_-">
                  <c:v>35.23548727</c:v>
                </c:pt>
                <c:pt idx="17" formatCode="_-* #,##0\ _₽_-;\-* #,##0\ _₽_-;_-* &quot;-&quot;??\ _₽_-;_-@_-">
                  <c:v>42.923535369999996</c:v>
                </c:pt>
                <c:pt idx="18" formatCode="_-* #,##0\ _₽_-;\-* #,##0\ _₽_-;_-* &quot;-&quot;??\ _₽_-;_-@_-">
                  <c:v>44.532932000000002</c:v>
                </c:pt>
                <c:pt idx="19" formatCode="_-* #,##0\ _₽_-;\-* #,##0\ _₽_-;_-* &quot;-&quot;??\ _₽_-;_-@_-">
                  <c:v>343.11328160000005</c:v>
                </c:pt>
                <c:pt idx="20" formatCode="_-* #,##0\ _₽_-;\-* #,##0\ _₽_-;_-* &quot;-&quot;??\ _₽_-;_-@_-">
                  <c:v>1128.0120468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233720552"/>
        <c:axId val="233720944"/>
      </c:barChart>
      <c:catAx>
        <c:axId val="23372055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233720944"/>
        <c:crosses val="autoZero"/>
        <c:auto val="1"/>
        <c:lblAlgn val="ctr"/>
        <c:lblOffset val="100"/>
        <c:noMultiLvlLbl val="0"/>
      </c:catAx>
      <c:valAx>
        <c:axId val="233720944"/>
        <c:scaling>
          <c:orientation val="minMax"/>
        </c:scaling>
        <c:delete val="1"/>
        <c:axPos val="b"/>
        <c:numFmt formatCode="_(* #,##0.00_);_(* \(#,##0.00\);_(* &quot;-&quot;??_);_(@_)" sourceLinked="1"/>
        <c:majorTickMark val="none"/>
        <c:minorTickMark val="none"/>
        <c:tickLblPos val="nextTo"/>
        <c:crossAx val="2337205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8B02-083F-4863-BC82-619F3D4A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Ковыльченко Милана Игоревна</dc:creator>
  <cp:lastModifiedBy>Карниченко Вероника Александровна</cp:lastModifiedBy>
  <cp:revision>2</cp:revision>
  <cp:lastPrinted>2023-08-16T06:22:00Z</cp:lastPrinted>
  <dcterms:created xsi:type="dcterms:W3CDTF">2023-11-23T04:48:00Z</dcterms:created>
  <dcterms:modified xsi:type="dcterms:W3CDTF">2023-11-23T04:48:00Z</dcterms:modified>
</cp:coreProperties>
</file>